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A1DFB" w14:textId="77777777" w:rsidR="005A621A" w:rsidRPr="00A31336" w:rsidRDefault="005A621A" w:rsidP="005A621A">
      <w:pPr>
        <w:ind w:left="567" w:firstLine="567"/>
        <w:jc w:val="center"/>
        <w:rPr>
          <w:rFonts w:ascii="Arial" w:eastAsia="Times New Roman" w:hAnsi="Arial" w:cs="Arial"/>
          <w:b/>
          <w:bCs/>
          <w:sz w:val="22"/>
          <w:szCs w:val="22"/>
          <w:highlight w:val="yellow"/>
        </w:rPr>
      </w:pPr>
      <w:bookmarkStart w:id="0" w:name="_GoBack"/>
      <w:bookmarkEnd w:id="0"/>
      <w:r w:rsidRPr="00A31336">
        <w:rPr>
          <w:rFonts w:ascii="Arial" w:eastAsia="Times New Roman" w:hAnsi="Arial" w:cs="Arial"/>
          <w:b/>
          <w:bCs/>
          <w:sz w:val="22"/>
          <w:szCs w:val="22"/>
          <w:highlight w:val="yellow"/>
        </w:rPr>
        <w:t>DEED OF AGREEMENT</w:t>
      </w:r>
    </w:p>
    <w:p w14:paraId="596D1CDE" w14:textId="77777777" w:rsidR="005A621A" w:rsidRPr="00A31336" w:rsidRDefault="005A621A" w:rsidP="005A621A">
      <w:pPr>
        <w:ind w:left="567" w:firstLine="567"/>
        <w:jc w:val="center"/>
        <w:rPr>
          <w:rFonts w:ascii="Arial" w:eastAsia="Times New Roman" w:hAnsi="Arial" w:cs="Arial"/>
          <w:b/>
          <w:bCs/>
          <w:sz w:val="22"/>
          <w:szCs w:val="22"/>
          <w:highlight w:val="yellow"/>
        </w:rPr>
      </w:pPr>
      <w:r w:rsidRPr="00A31336">
        <w:rPr>
          <w:rFonts w:ascii="Arial" w:eastAsia="Times New Roman" w:hAnsi="Arial" w:cs="Arial"/>
          <w:b/>
          <w:bCs/>
          <w:sz w:val="22"/>
          <w:szCs w:val="22"/>
          <w:highlight w:val="yellow"/>
        </w:rPr>
        <w:t>(SETTLING A SOLICITOR/CLIENT OR UNIFORM LAW COSTS DISPUTE)</w:t>
      </w:r>
    </w:p>
    <w:p w14:paraId="49F96610" w14:textId="77777777" w:rsidR="005A621A" w:rsidRPr="00A31336" w:rsidRDefault="005A621A" w:rsidP="005A621A">
      <w:pPr>
        <w:ind w:left="567"/>
        <w:rPr>
          <w:rFonts w:ascii="Arial" w:eastAsia="Times New Roman" w:hAnsi="Arial" w:cs="Arial"/>
          <w:bCs/>
          <w:sz w:val="22"/>
          <w:szCs w:val="22"/>
          <w:highlight w:val="yellow"/>
        </w:rPr>
      </w:pPr>
    </w:p>
    <w:p w14:paraId="2A58E3A2" w14:textId="202E5ECF" w:rsidR="009D732D" w:rsidRPr="009D732D" w:rsidRDefault="005A621A" w:rsidP="005A621A">
      <w:pPr>
        <w:rPr>
          <w:rFonts w:ascii="Arial" w:eastAsia="Times New Roman" w:hAnsi="Arial" w:cs="Arial"/>
          <w:bCs/>
          <w:sz w:val="22"/>
          <w:szCs w:val="22"/>
        </w:rPr>
      </w:pPr>
      <w:r w:rsidRPr="00A31336">
        <w:rPr>
          <w:rFonts w:ascii="Arial" w:eastAsia="Times New Roman" w:hAnsi="Arial" w:cs="Arial"/>
          <w:bCs/>
          <w:sz w:val="22"/>
          <w:szCs w:val="22"/>
          <w:highlight w:val="yellow"/>
        </w:rPr>
        <w:t xml:space="preserve">The Deed of Compromise is intended to operate as an </w:t>
      </w:r>
      <w:r w:rsidRPr="009D732D">
        <w:rPr>
          <w:rFonts w:ascii="Arial" w:eastAsia="Times New Roman" w:hAnsi="Arial" w:cs="Arial"/>
          <w:bCs/>
          <w:sz w:val="22"/>
          <w:szCs w:val="22"/>
          <w:highlight w:val="yellow"/>
        </w:rPr>
        <w:t>accord and satisfaction</w:t>
      </w:r>
      <w:r w:rsidR="009D732D" w:rsidRPr="009D732D">
        <w:rPr>
          <w:rFonts w:ascii="Arial" w:eastAsia="Times New Roman" w:hAnsi="Arial" w:cs="Arial"/>
          <w:bCs/>
          <w:iCs/>
          <w:sz w:val="22"/>
          <w:szCs w:val="22"/>
          <w:highlight w:val="yellow"/>
        </w:rPr>
        <w:t xml:space="preserve"> when settling a solicitor/client or uniform law costs dispute.</w:t>
      </w:r>
      <w:r w:rsidRPr="009D732D">
        <w:rPr>
          <w:rFonts w:ascii="Arial" w:eastAsia="Times New Roman" w:hAnsi="Arial" w:cs="Arial"/>
          <w:bCs/>
          <w:sz w:val="22"/>
          <w:szCs w:val="22"/>
          <w:highlight w:val="yellow"/>
        </w:rPr>
        <w:t xml:space="preserve"> </w:t>
      </w:r>
      <w:r w:rsidR="009D732D" w:rsidRPr="009D732D">
        <w:rPr>
          <w:rFonts w:ascii="Arial" w:eastAsia="Times New Roman" w:hAnsi="Arial" w:cs="Arial"/>
          <w:bCs/>
          <w:sz w:val="22"/>
          <w:szCs w:val="22"/>
          <w:highlight w:val="yellow"/>
        </w:rPr>
        <w:t xml:space="preserve">It is not intended to be used routinely but in those cases where there is a genuine compromise of the costs in dispute such that the practitioner is able to evidence a </w:t>
      </w:r>
      <w:r w:rsidR="009D732D" w:rsidRPr="009D732D">
        <w:rPr>
          <w:rFonts w:ascii="Arial" w:eastAsia="Times New Roman" w:hAnsi="Arial" w:cs="Arial"/>
          <w:bCs/>
          <w:iCs/>
          <w:sz w:val="22"/>
          <w:szCs w:val="22"/>
          <w:highlight w:val="yellow"/>
        </w:rPr>
        <w:t xml:space="preserve">significant concession as the consideration for bringing the costs dispute to a complete end. </w:t>
      </w:r>
      <w:r w:rsidR="009D732D" w:rsidRPr="009D732D">
        <w:rPr>
          <w:rFonts w:ascii="Arial" w:eastAsia="Times New Roman" w:hAnsi="Arial" w:cs="Arial"/>
          <w:bCs/>
          <w:sz w:val="22"/>
          <w:szCs w:val="22"/>
          <w:highlight w:val="yellow"/>
        </w:rPr>
        <w:t>Practitioners should consider the below and the cases upon which the Deed is based prior to entering into the Deed.</w:t>
      </w:r>
    </w:p>
    <w:p w14:paraId="020F516A" w14:textId="77777777" w:rsidR="009D732D" w:rsidRDefault="009D732D" w:rsidP="005A621A"/>
    <w:p w14:paraId="7FCD3F7D" w14:textId="24CCE6E8" w:rsidR="005A621A" w:rsidRPr="00426C26" w:rsidRDefault="009D732D" w:rsidP="005A621A">
      <w:pPr>
        <w:rPr>
          <w:rFonts w:ascii="Arial" w:eastAsia="Times New Roman" w:hAnsi="Arial" w:cs="Arial"/>
          <w:sz w:val="22"/>
          <w:szCs w:val="22"/>
          <w:highlight w:val="yellow"/>
        </w:rPr>
      </w:pPr>
      <w:r>
        <w:rPr>
          <w:rFonts w:ascii="Arial" w:eastAsia="Times New Roman" w:hAnsi="Arial" w:cs="Arial"/>
          <w:bCs/>
          <w:sz w:val="22"/>
          <w:szCs w:val="22"/>
          <w:highlight w:val="yellow"/>
        </w:rPr>
        <w:t xml:space="preserve">The Deed </w:t>
      </w:r>
      <w:r w:rsidR="005A621A" w:rsidRPr="00A31336">
        <w:rPr>
          <w:rFonts w:ascii="Arial" w:eastAsia="Times New Roman" w:hAnsi="Arial" w:cs="Arial"/>
          <w:bCs/>
          <w:sz w:val="22"/>
          <w:szCs w:val="22"/>
          <w:highlight w:val="yellow"/>
        </w:rPr>
        <w:t>is based upon the principles outlined in </w:t>
      </w:r>
      <w:hyperlink r:id="rId7" w:history="1">
        <w:r w:rsidR="005A621A" w:rsidRPr="005F5E20">
          <w:rPr>
            <w:rStyle w:val="Hyperlink"/>
            <w:rFonts w:ascii="Arial" w:eastAsia="Times New Roman" w:hAnsi="Arial" w:cs="Arial"/>
            <w:bCs/>
            <w:i/>
            <w:iCs/>
            <w:sz w:val="22"/>
            <w:szCs w:val="22"/>
            <w:highlight w:val="yellow"/>
            <w:shd w:val="clear" w:color="auto" w:fill="FFFFFF"/>
          </w:rPr>
          <w:t>GLS v Goodman Group Pty Ltd</w:t>
        </w:r>
        <w:r w:rsidR="005A621A" w:rsidRPr="005F5E20">
          <w:rPr>
            <w:rStyle w:val="Hyperlink"/>
            <w:rFonts w:ascii="Arial" w:eastAsia="Times New Roman" w:hAnsi="Arial" w:cs="Arial"/>
            <w:bCs/>
            <w:sz w:val="22"/>
            <w:szCs w:val="22"/>
            <w:highlight w:val="yellow"/>
            <w:shd w:val="clear" w:color="auto" w:fill="FFFFFF"/>
          </w:rPr>
          <w:t> [2015] VSC 627 </w:t>
        </w:r>
      </w:hyperlink>
      <w:r w:rsidR="005A621A" w:rsidRPr="00A31336">
        <w:rPr>
          <w:rFonts w:ascii="Arial" w:eastAsia="Times New Roman" w:hAnsi="Arial" w:cs="Arial"/>
          <w:bCs/>
          <w:sz w:val="22"/>
          <w:szCs w:val="22"/>
          <w:highlight w:val="yellow"/>
        </w:rPr>
        <w:t xml:space="preserve">and these principles have yet to be </w:t>
      </w:r>
      <w:r w:rsidR="005A621A" w:rsidRPr="00426C26">
        <w:rPr>
          <w:rFonts w:ascii="Arial" w:eastAsia="Times New Roman" w:hAnsi="Arial" w:cs="Arial"/>
          <w:bCs/>
          <w:sz w:val="22"/>
          <w:szCs w:val="22"/>
          <w:highlight w:val="yellow"/>
        </w:rPr>
        <w:t>specifically applied</w:t>
      </w:r>
      <w:r w:rsidR="005A621A" w:rsidRPr="00A31336">
        <w:rPr>
          <w:rFonts w:ascii="Arial" w:eastAsia="Times New Roman" w:hAnsi="Arial" w:cs="Arial"/>
          <w:bCs/>
          <w:sz w:val="22"/>
          <w:szCs w:val="22"/>
          <w:highlight w:val="yellow"/>
        </w:rPr>
        <w:t xml:space="preserve"> in a New South Wales Court with jurisdiction to determine such an issue</w:t>
      </w:r>
      <w:r w:rsidR="005A621A" w:rsidRPr="00426C26">
        <w:rPr>
          <w:rFonts w:ascii="Arial" w:eastAsia="Times New Roman" w:hAnsi="Arial" w:cs="Arial"/>
          <w:bCs/>
          <w:sz w:val="22"/>
          <w:szCs w:val="22"/>
          <w:highlight w:val="yellow"/>
        </w:rPr>
        <w:t xml:space="preserve">.  However, in </w:t>
      </w:r>
      <w:hyperlink r:id="rId8" w:history="1">
        <w:proofErr w:type="spellStart"/>
        <w:r w:rsidR="005A621A" w:rsidRPr="005F5E20">
          <w:rPr>
            <w:rStyle w:val="Hyperlink"/>
            <w:rFonts w:ascii="Arial" w:eastAsia="Times New Roman" w:hAnsi="Arial" w:cs="Arial"/>
            <w:bCs/>
            <w:i/>
            <w:iCs/>
            <w:sz w:val="22"/>
            <w:szCs w:val="22"/>
            <w:highlight w:val="yellow"/>
          </w:rPr>
          <w:t>Amirbeaggi</w:t>
        </w:r>
        <w:proofErr w:type="spellEnd"/>
        <w:r w:rsidR="005A621A" w:rsidRPr="005F5E20">
          <w:rPr>
            <w:rStyle w:val="Hyperlink"/>
            <w:rFonts w:ascii="Arial" w:eastAsia="Times New Roman" w:hAnsi="Arial" w:cs="Arial"/>
            <w:bCs/>
            <w:i/>
            <w:iCs/>
            <w:sz w:val="22"/>
            <w:szCs w:val="22"/>
            <w:highlight w:val="yellow"/>
          </w:rPr>
          <w:t xml:space="preserve"> and 2 others -v- Business in Focus (Australia) Pty Limited</w:t>
        </w:r>
        <w:r w:rsidR="005A621A" w:rsidRPr="005F5E20">
          <w:rPr>
            <w:rStyle w:val="Hyperlink"/>
            <w:rFonts w:ascii="Arial" w:eastAsia="Times New Roman" w:hAnsi="Arial" w:cs="Arial"/>
            <w:bCs/>
            <w:sz w:val="22"/>
            <w:szCs w:val="22"/>
            <w:highlight w:val="yellow"/>
          </w:rPr>
          <w:t xml:space="preserve"> [2008] NSWSC 421</w:t>
        </w:r>
      </w:hyperlink>
      <w:r w:rsidR="005A621A" w:rsidRPr="00426C26">
        <w:rPr>
          <w:rFonts w:ascii="Arial" w:eastAsia="Times New Roman" w:hAnsi="Arial" w:cs="Arial"/>
          <w:bCs/>
          <w:sz w:val="22"/>
          <w:szCs w:val="22"/>
          <w:highlight w:val="yellow"/>
        </w:rPr>
        <w:t xml:space="preserve"> Brereton J made comments about such agreements, quoting with approval from</w:t>
      </w:r>
      <w:r w:rsidR="005F5E20">
        <w:rPr>
          <w:rFonts w:ascii="Arial" w:eastAsia="Times New Roman" w:hAnsi="Arial" w:cs="Arial"/>
          <w:bCs/>
          <w:sz w:val="22"/>
          <w:szCs w:val="22"/>
          <w:highlight w:val="yellow"/>
        </w:rPr>
        <w:t xml:space="preserve"> the judgment of Hodgson JA in </w:t>
      </w:r>
      <w:hyperlink r:id="rId9" w:history="1">
        <w:proofErr w:type="spellStart"/>
        <w:r w:rsidR="005A621A" w:rsidRPr="005F5E20">
          <w:rPr>
            <w:rStyle w:val="Hyperlink"/>
            <w:rFonts w:ascii="Arial" w:eastAsia="Times New Roman" w:hAnsi="Arial" w:cs="Arial"/>
            <w:bCs/>
            <w:i/>
            <w:iCs/>
            <w:sz w:val="22"/>
            <w:szCs w:val="22"/>
            <w:highlight w:val="yellow"/>
          </w:rPr>
          <w:t>Koutsourais</w:t>
        </w:r>
        <w:proofErr w:type="spellEnd"/>
        <w:r w:rsidR="005A621A" w:rsidRPr="005F5E20">
          <w:rPr>
            <w:rStyle w:val="Hyperlink"/>
            <w:rFonts w:ascii="Arial" w:eastAsia="Times New Roman" w:hAnsi="Arial" w:cs="Arial"/>
            <w:bCs/>
            <w:i/>
            <w:iCs/>
            <w:sz w:val="22"/>
            <w:szCs w:val="22"/>
            <w:highlight w:val="yellow"/>
          </w:rPr>
          <w:t xml:space="preserve"> v </w:t>
        </w:r>
        <w:proofErr w:type="spellStart"/>
        <w:r w:rsidR="005A621A" w:rsidRPr="005F5E20">
          <w:rPr>
            <w:rStyle w:val="Hyperlink"/>
            <w:rFonts w:ascii="Arial" w:eastAsia="Times New Roman" w:hAnsi="Arial" w:cs="Arial"/>
            <w:bCs/>
            <w:i/>
            <w:iCs/>
            <w:sz w:val="22"/>
            <w:szCs w:val="22"/>
            <w:highlight w:val="yellow"/>
          </w:rPr>
          <w:t>Metledge</w:t>
        </w:r>
        <w:proofErr w:type="spellEnd"/>
        <w:r w:rsidR="005A621A" w:rsidRPr="005F5E20">
          <w:rPr>
            <w:rStyle w:val="Hyperlink"/>
            <w:rFonts w:ascii="Arial" w:eastAsia="Times New Roman" w:hAnsi="Arial" w:cs="Arial"/>
            <w:bCs/>
            <w:i/>
            <w:iCs/>
            <w:sz w:val="22"/>
            <w:szCs w:val="22"/>
            <w:highlight w:val="yellow"/>
          </w:rPr>
          <w:t xml:space="preserve"> &amp; Associates</w:t>
        </w:r>
        <w:r w:rsidR="005A621A" w:rsidRPr="005F5E20">
          <w:rPr>
            <w:rStyle w:val="Hyperlink"/>
            <w:rFonts w:ascii="Arial" w:eastAsia="Times New Roman" w:hAnsi="Arial" w:cs="Arial"/>
            <w:bCs/>
            <w:sz w:val="22"/>
            <w:szCs w:val="22"/>
            <w:highlight w:val="yellow"/>
            <w:shd w:val="clear" w:color="auto" w:fill="FFFFFF"/>
          </w:rPr>
          <w:t xml:space="preserve">  </w:t>
        </w:r>
        <w:r w:rsidR="005A621A" w:rsidRPr="005F5E20">
          <w:rPr>
            <w:rStyle w:val="Hyperlink"/>
            <w:rFonts w:ascii="Arial" w:eastAsia="Times New Roman" w:hAnsi="Arial" w:cs="Arial"/>
            <w:bCs/>
            <w:sz w:val="22"/>
            <w:szCs w:val="22"/>
            <w:highlight w:val="yellow"/>
          </w:rPr>
          <w:t>[2004] NSWCA 313</w:t>
        </w:r>
      </w:hyperlink>
      <w:r w:rsidR="005A621A" w:rsidRPr="00426C26">
        <w:rPr>
          <w:rFonts w:ascii="Arial" w:eastAsia="Times New Roman" w:hAnsi="Arial" w:cs="Arial"/>
          <w:bCs/>
          <w:sz w:val="22"/>
          <w:szCs w:val="22"/>
          <w:highlight w:val="yellow"/>
        </w:rPr>
        <w:t>: </w:t>
      </w:r>
    </w:p>
    <w:p w14:paraId="000989C9" w14:textId="77777777" w:rsidR="005A621A" w:rsidRDefault="005A621A" w:rsidP="005A621A">
      <w:pPr>
        <w:ind w:left="567"/>
        <w:rPr>
          <w:rFonts w:ascii="Arial" w:eastAsia="Times New Roman" w:hAnsi="Arial" w:cs="Arial"/>
          <w:sz w:val="22"/>
          <w:szCs w:val="22"/>
          <w:highlight w:val="yellow"/>
        </w:rPr>
      </w:pPr>
    </w:p>
    <w:p w14:paraId="46E82AB1" w14:textId="37062D65" w:rsidR="00EF532E" w:rsidRDefault="00EF532E" w:rsidP="005A621A">
      <w:pPr>
        <w:ind w:left="567"/>
        <w:rPr>
          <w:rFonts w:ascii="Arial" w:eastAsia="Times New Roman" w:hAnsi="Arial" w:cs="Arial"/>
          <w:bCs/>
          <w:sz w:val="22"/>
          <w:szCs w:val="22"/>
          <w:highlight w:val="yellow"/>
        </w:rPr>
      </w:pPr>
      <w:r>
        <w:rPr>
          <w:rFonts w:ascii="Arial" w:eastAsia="Times New Roman" w:hAnsi="Arial" w:cs="Arial"/>
          <w:bCs/>
          <w:i/>
          <w:sz w:val="22"/>
          <w:szCs w:val="22"/>
          <w:highlight w:val="yellow"/>
        </w:rPr>
        <w:t>36.</w:t>
      </w:r>
      <w:r w:rsidRPr="00EF532E">
        <w:rPr>
          <w:rFonts w:ascii="Arial" w:eastAsia="Times New Roman" w:hAnsi="Arial" w:cs="Arial"/>
          <w:bCs/>
          <w:i/>
          <w:sz w:val="22"/>
          <w:szCs w:val="22"/>
          <w:highlight w:val="yellow"/>
        </w:rPr>
        <w:t xml:space="preserve"> In</w:t>
      </w:r>
      <w:r w:rsidRPr="00EF532E">
        <w:rPr>
          <w:rFonts w:ascii="Georgia" w:hAnsi="Georgia"/>
          <w:i/>
          <w:color w:val="000000"/>
          <w:sz w:val="26"/>
          <w:szCs w:val="26"/>
          <w:shd w:val="clear" w:color="auto" w:fill="FFFFFF"/>
        </w:rPr>
        <w:t> </w:t>
      </w:r>
      <w:proofErr w:type="spellStart"/>
      <w:r>
        <w:rPr>
          <w:rFonts w:ascii="Arial" w:eastAsia="Times New Roman" w:hAnsi="Arial" w:cs="Arial"/>
          <w:bCs/>
          <w:i/>
          <w:sz w:val="22"/>
          <w:szCs w:val="22"/>
          <w:highlight w:val="yellow"/>
        </w:rPr>
        <w:fldChar w:fldCharType="begin"/>
      </w:r>
      <w:r>
        <w:rPr>
          <w:rFonts w:ascii="Arial" w:eastAsia="Times New Roman" w:hAnsi="Arial" w:cs="Arial"/>
          <w:bCs/>
          <w:i/>
          <w:sz w:val="22"/>
          <w:szCs w:val="22"/>
          <w:highlight w:val="yellow"/>
        </w:rPr>
        <w:instrText xml:space="preserve"> HYPERLINK "https://jade.io/j/" \l "!/article/125635" </w:instrText>
      </w:r>
      <w:r>
        <w:rPr>
          <w:rFonts w:ascii="Arial" w:eastAsia="Times New Roman" w:hAnsi="Arial" w:cs="Arial"/>
          <w:bCs/>
          <w:i/>
          <w:sz w:val="22"/>
          <w:szCs w:val="22"/>
          <w:highlight w:val="yellow"/>
        </w:rPr>
        <w:fldChar w:fldCharType="separate"/>
      </w:r>
      <w:r w:rsidRPr="00EF532E">
        <w:rPr>
          <w:rStyle w:val="Hyperlink"/>
          <w:rFonts w:ascii="Arial" w:eastAsia="Times New Roman" w:hAnsi="Arial" w:cs="Arial"/>
          <w:bCs/>
          <w:i/>
          <w:sz w:val="22"/>
          <w:szCs w:val="22"/>
          <w:highlight w:val="yellow"/>
        </w:rPr>
        <w:t>Koutsourais</w:t>
      </w:r>
      <w:proofErr w:type="spellEnd"/>
      <w:r w:rsidRPr="00EF532E">
        <w:rPr>
          <w:rStyle w:val="Hyperlink"/>
          <w:rFonts w:ascii="Arial" w:eastAsia="Times New Roman" w:hAnsi="Arial" w:cs="Arial"/>
          <w:bCs/>
          <w:i/>
          <w:sz w:val="22"/>
          <w:szCs w:val="22"/>
          <w:highlight w:val="yellow"/>
        </w:rPr>
        <w:t xml:space="preserve"> v </w:t>
      </w:r>
      <w:proofErr w:type="spellStart"/>
      <w:r w:rsidRPr="00EF532E">
        <w:rPr>
          <w:rStyle w:val="Hyperlink"/>
          <w:rFonts w:ascii="Arial" w:eastAsia="Times New Roman" w:hAnsi="Arial" w:cs="Arial"/>
          <w:bCs/>
          <w:i/>
          <w:sz w:val="22"/>
          <w:szCs w:val="22"/>
          <w:highlight w:val="yellow"/>
        </w:rPr>
        <w:t>Metledge</w:t>
      </w:r>
      <w:proofErr w:type="spellEnd"/>
      <w:r w:rsidRPr="00EF532E">
        <w:rPr>
          <w:rStyle w:val="Hyperlink"/>
          <w:rFonts w:ascii="Arial" w:eastAsia="Times New Roman" w:hAnsi="Arial" w:cs="Arial"/>
          <w:bCs/>
          <w:i/>
          <w:sz w:val="22"/>
          <w:szCs w:val="22"/>
          <w:highlight w:val="yellow"/>
        </w:rPr>
        <w:t xml:space="preserve"> &amp; Associates</w:t>
      </w:r>
      <w:r>
        <w:rPr>
          <w:rFonts w:ascii="Arial" w:eastAsia="Times New Roman" w:hAnsi="Arial" w:cs="Arial"/>
          <w:bCs/>
          <w:i/>
          <w:sz w:val="22"/>
          <w:szCs w:val="22"/>
          <w:highlight w:val="yellow"/>
        </w:rPr>
        <w:fldChar w:fldCharType="end"/>
      </w:r>
      <w:r>
        <w:rPr>
          <w:rFonts w:ascii="Arial" w:eastAsia="Times New Roman" w:hAnsi="Arial" w:cs="Arial"/>
          <w:bCs/>
          <w:sz w:val="22"/>
          <w:szCs w:val="22"/>
          <w:highlight w:val="yellow"/>
        </w:rPr>
        <w:t>…</w:t>
      </w:r>
      <w:r w:rsidRPr="00EF532E">
        <w:rPr>
          <w:rFonts w:ascii="Arial" w:eastAsia="Times New Roman" w:hAnsi="Arial" w:cs="Arial"/>
          <w:bCs/>
          <w:sz w:val="22"/>
          <w:szCs w:val="22"/>
          <w:highlight w:val="yellow"/>
        </w:rPr>
        <w:t> </w:t>
      </w:r>
    </w:p>
    <w:p w14:paraId="08F7A2BD" w14:textId="77777777" w:rsidR="005A621A" w:rsidRPr="00426C26" w:rsidRDefault="005A621A" w:rsidP="00426C26">
      <w:pPr>
        <w:shd w:val="clear" w:color="auto" w:fill="FFFFFF"/>
        <w:ind w:left="1440"/>
        <w:rPr>
          <w:rFonts w:ascii="Arial" w:eastAsia="Times New Roman" w:hAnsi="Arial" w:cs="Arial"/>
          <w:i/>
          <w:sz w:val="22"/>
          <w:szCs w:val="22"/>
          <w:highlight w:val="yellow"/>
        </w:rPr>
      </w:pPr>
      <w:r w:rsidRPr="00426C26">
        <w:rPr>
          <w:rFonts w:ascii="Arial" w:eastAsia="Times New Roman" w:hAnsi="Arial" w:cs="Arial"/>
          <w:bCs/>
          <w:i/>
          <w:sz w:val="22"/>
          <w:szCs w:val="22"/>
          <w:highlight w:val="yellow"/>
        </w:rPr>
        <w:t>[9] So the question is, did this accord and satisfaction mean that proceedings to enforce it were not proceedings for the recovery of costs. In my opinion, this accord and satisfaction was insufficient to have that effect, for these reasons. First, the amount to be paid was still the precise amount claimed for costs. Second, the entity identified as liable for the whole was one of two entities which were together previously liable for the whole of the costs, albeit in undetermined shares. In my view, in substance it was still the recovery of costs that was being sought in the proceedings.</w:t>
      </w:r>
    </w:p>
    <w:p w14:paraId="1F2AE16A" w14:textId="77777777" w:rsidR="005A621A" w:rsidRPr="00426C26" w:rsidRDefault="005A621A" w:rsidP="005A621A">
      <w:pPr>
        <w:shd w:val="clear" w:color="auto" w:fill="FFFFFF"/>
        <w:ind w:left="567"/>
        <w:rPr>
          <w:rFonts w:ascii="Arial" w:eastAsia="Times New Roman" w:hAnsi="Arial" w:cs="Arial"/>
          <w:sz w:val="22"/>
          <w:szCs w:val="22"/>
          <w:highlight w:val="yellow"/>
        </w:rPr>
      </w:pPr>
    </w:p>
    <w:p w14:paraId="4B165BD8" w14:textId="2A4FACD7" w:rsidR="005A621A" w:rsidRPr="00426C26" w:rsidRDefault="005A621A" w:rsidP="00426C26">
      <w:pPr>
        <w:shd w:val="clear" w:color="auto" w:fill="FFFFFF"/>
        <w:spacing w:before="100" w:beforeAutospacing="1" w:after="100" w:afterAutospacing="1"/>
        <w:ind w:left="1440"/>
        <w:rPr>
          <w:rFonts w:ascii="Arial" w:hAnsi="Arial" w:cs="Arial"/>
          <w:i/>
          <w:sz w:val="22"/>
          <w:szCs w:val="22"/>
          <w:highlight w:val="yellow"/>
        </w:rPr>
      </w:pPr>
      <w:r w:rsidRPr="00426C26">
        <w:rPr>
          <w:rFonts w:ascii="Arial" w:hAnsi="Arial" w:cs="Arial"/>
          <w:bCs/>
          <w:i/>
          <w:sz w:val="22"/>
          <w:szCs w:val="22"/>
          <w:highlight w:val="yellow"/>
        </w:rPr>
        <w:t>[10] In my opinion, this case is distinguishable from </w:t>
      </w:r>
      <w:hyperlink r:id="rId10" w:history="1">
        <w:r w:rsidRPr="005F5E20">
          <w:rPr>
            <w:rStyle w:val="Hyperlink"/>
            <w:rFonts w:ascii="Arial" w:hAnsi="Arial" w:cs="Arial"/>
            <w:bCs/>
            <w:i/>
            <w:iCs/>
            <w:sz w:val="22"/>
            <w:szCs w:val="22"/>
            <w:highlight w:val="yellow"/>
          </w:rPr>
          <w:t xml:space="preserve">Connolly </w:t>
        </w:r>
        <w:proofErr w:type="spellStart"/>
        <w:r w:rsidRPr="005F5E20">
          <w:rPr>
            <w:rStyle w:val="Hyperlink"/>
            <w:rFonts w:ascii="Arial" w:hAnsi="Arial" w:cs="Arial"/>
            <w:bCs/>
            <w:i/>
            <w:iCs/>
            <w:sz w:val="22"/>
            <w:szCs w:val="22"/>
            <w:highlight w:val="yellow"/>
          </w:rPr>
          <w:t>Suthers</w:t>
        </w:r>
        <w:proofErr w:type="spellEnd"/>
        <w:r w:rsidRPr="005F5E20">
          <w:rPr>
            <w:rStyle w:val="Hyperlink"/>
            <w:rFonts w:ascii="Arial" w:hAnsi="Arial" w:cs="Arial"/>
            <w:bCs/>
            <w:i/>
            <w:iCs/>
            <w:sz w:val="22"/>
            <w:szCs w:val="22"/>
            <w:highlight w:val="yellow"/>
          </w:rPr>
          <w:t xml:space="preserve"> v Frost </w:t>
        </w:r>
        <w:r w:rsidRPr="005F5E20">
          <w:rPr>
            <w:rStyle w:val="Hyperlink"/>
            <w:rFonts w:ascii="Arial" w:hAnsi="Arial" w:cs="Arial"/>
            <w:bCs/>
            <w:i/>
            <w:sz w:val="22"/>
            <w:szCs w:val="22"/>
            <w:highlight w:val="yellow"/>
          </w:rPr>
          <w:t xml:space="preserve">[1995] 2 </w:t>
        </w:r>
        <w:proofErr w:type="spellStart"/>
        <w:r w:rsidRPr="005F5E20">
          <w:rPr>
            <w:rStyle w:val="Hyperlink"/>
            <w:rFonts w:ascii="Arial" w:hAnsi="Arial" w:cs="Arial"/>
            <w:bCs/>
            <w:i/>
            <w:sz w:val="22"/>
            <w:szCs w:val="22"/>
            <w:highlight w:val="yellow"/>
          </w:rPr>
          <w:t>Qd</w:t>
        </w:r>
        <w:proofErr w:type="spellEnd"/>
        <w:r w:rsidRPr="005F5E20">
          <w:rPr>
            <w:rStyle w:val="Hyperlink"/>
            <w:rFonts w:ascii="Arial" w:hAnsi="Arial" w:cs="Arial"/>
            <w:bCs/>
            <w:i/>
            <w:sz w:val="22"/>
            <w:szCs w:val="22"/>
            <w:highlight w:val="yellow"/>
          </w:rPr>
          <w:t xml:space="preserve"> R 117</w:t>
        </w:r>
      </w:hyperlink>
      <w:r w:rsidRPr="005F5E20">
        <w:rPr>
          <w:rFonts w:ascii="Arial" w:hAnsi="Arial" w:cs="Arial"/>
          <w:bCs/>
          <w:i/>
          <w:sz w:val="22"/>
          <w:szCs w:val="22"/>
          <w:highlight w:val="yellow"/>
        </w:rPr>
        <w:t>.</w:t>
      </w:r>
      <w:r w:rsidRPr="00426C26">
        <w:rPr>
          <w:rFonts w:ascii="Arial" w:hAnsi="Arial" w:cs="Arial"/>
          <w:bCs/>
          <w:i/>
          <w:sz w:val="22"/>
          <w:szCs w:val="22"/>
          <w:highlight w:val="yellow"/>
        </w:rPr>
        <w:t> In that case, it was conceded that the Queensland equivalent of </w:t>
      </w:r>
      <w:hyperlink r:id="rId11" w:history="1">
        <w:r w:rsidRPr="00426C26">
          <w:rPr>
            <w:rStyle w:val="Hyperlink"/>
            <w:rFonts w:ascii="Arial" w:hAnsi="Arial" w:cs="Arial"/>
            <w:bCs/>
            <w:i/>
            <w:sz w:val="22"/>
            <w:szCs w:val="22"/>
            <w:highlight w:val="yellow"/>
            <w:u w:val="none"/>
          </w:rPr>
          <w:t>s 192</w:t>
        </w:r>
      </w:hyperlink>
      <w:r w:rsidRPr="00426C26">
        <w:rPr>
          <w:rFonts w:ascii="Arial" w:hAnsi="Arial" w:cs="Arial"/>
          <w:bCs/>
          <w:i/>
          <w:sz w:val="22"/>
          <w:szCs w:val="22"/>
          <w:highlight w:val="yellow"/>
        </w:rPr>
        <w:t> had no application. This is understandable, where the contract sued upon was twice removed from the contract pursuant to which the solicitor became entitled to costs; and the contract actually sued on was a compromise of litigation that had actually been commenced.</w:t>
      </w:r>
    </w:p>
    <w:p w14:paraId="33CE47F2" w14:textId="77777777" w:rsidR="005A621A" w:rsidRPr="00426C26" w:rsidRDefault="005A621A" w:rsidP="005A621A">
      <w:pPr>
        <w:shd w:val="clear" w:color="auto" w:fill="FFFFFF"/>
        <w:ind w:left="567"/>
        <w:rPr>
          <w:rFonts w:ascii="Arial" w:eastAsia="Times New Roman" w:hAnsi="Arial" w:cs="Arial"/>
          <w:sz w:val="22"/>
          <w:szCs w:val="22"/>
          <w:highlight w:val="yellow"/>
        </w:rPr>
      </w:pPr>
    </w:p>
    <w:p w14:paraId="0BAAE250" w14:textId="77777777" w:rsidR="005A621A" w:rsidRPr="00426C26" w:rsidRDefault="005A621A" w:rsidP="00426C26">
      <w:pPr>
        <w:shd w:val="clear" w:color="auto" w:fill="FFFFFF"/>
        <w:spacing w:before="100" w:beforeAutospacing="1" w:after="100" w:afterAutospacing="1"/>
        <w:ind w:left="1440"/>
        <w:rPr>
          <w:rFonts w:ascii="Arial" w:hAnsi="Arial" w:cs="Arial"/>
          <w:i/>
          <w:sz w:val="22"/>
          <w:szCs w:val="22"/>
          <w:highlight w:val="yellow"/>
        </w:rPr>
      </w:pPr>
      <w:r w:rsidRPr="00426C26">
        <w:rPr>
          <w:rFonts w:ascii="Arial" w:hAnsi="Arial" w:cs="Arial"/>
          <w:bCs/>
          <w:i/>
          <w:sz w:val="22"/>
          <w:szCs w:val="22"/>
          <w:highlight w:val="yellow"/>
        </w:rPr>
        <w:t>[11] In my opinion, factors which would tend to make proceedings ultimately based, at least in part, on a lawyer's entitlement to costs, other than proceedings for recovery of costs, would include: a compromise of previous legal proceedings; a compromise involving other matters as well as costs; a compromise accepting in respect of costs a substantially lesser sum; and legal advice to the client at the time of the compromise. Each and all of these factors would in my opinion tend towards changing the character of proceedings based on the compromise from being proceedings for the recovery of costs. None of these factors was present in this case.</w:t>
      </w:r>
    </w:p>
    <w:p w14:paraId="35B8D0E8" w14:textId="77777777" w:rsidR="005A621A" w:rsidRDefault="005A621A" w:rsidP="005A621A">
      <w:pPr>
        <w:shd w:val="clear" w:color="auto" w:fill="FFFFFF"/>
        <w:ind w:left="567"/>
        <w:rPr>
          <w:rFonts w:ascii="Arial" w:eastAsia="Times New Roman" w:hAnsi="Arial" w:cs="Arial"/>
          <w:bCs/>
          <w:sz w:val="22"/>
          <w:szCs w:val="22"/>
          <w:highlight w:val="yellow"/>
        </w:rPr>
      </w:pPr>
    </w:p>
    <w:p w14:paraId="6A7E8492" w14:textId="77777777" w:rsidR="009D732D" w:rsidRDefault="009D732D" w:rsidP="005A621A">
      <w:pPr>
        <w:shd w:val="clear" w:color="auto" w:fill="FFFFFF"/>
        <w:ind w:left="567"/>
        <w:rPr>
          <w:rFonts w:ascii="Arial" w:eastAsia="Times New Roman" w:hAnsi="Arial" w:cs="Arial"/>
          <w:bCs/>
          <w:sz w:val="22"/>
          <w:szCs w:val="22"/>
          <w:highlight w:val="yellow"/>
        </w:rPr>
      </w:pPr>
    </w:p>
    <w:p w14:paraId="2E1F3FA4" w14:textId="77777777" w:rsidR="009D732D" w:rsidRPr="00426C26" w:rsidRDefault="009D732D" w:rsidP="009D732D">
      <w:pPr>
        <w:jc w:val="center"/>
        <w:rPr>
          <w:rFonts w:ascii="Arial" w:hAnsi="Arial" w:cs="Arial"/>
          <w:b/>
          <w:sz w:val="32"/>
          <w:szCs w:val="40"/>
        </w:rPr>
      </w:pPr>
      <w:r w:rsidRPr="00426C26">
        <w:rPr>
          <w:rFonts w:ascii="Arial" w:hAnsi="Arial" w:cs="Arial"/>
          <w:b/>
          <w:sz w:val="32"/>
          <w:szCs w:val="40"/>
          <w:highlight w:val="yellow"/>
        </w:rPr>
        <w:t>THIS PAGE DOES NOT FORM PART OF THE DEED AND SHOULD BE DELETED BEFORE THE DEED IS USED</w:t>
      </w:r>
    </w:p>
    <w:p w14:paraId="12B0CFA0" w14:textId="77777777" w:rsidR="009D732D" w:rsidRDefault="009D732D" w:rsidP="005A621A">
      <w:pPr>
        <w:shd w:val="clear" w:color="auto" w:fill="FFFFFF"/>
        <w:ind w:left="567"/>
        <w:rPr>
          <w:rFonts w:ascii="Arial" w:eastAsia="Times New Roman" w:hAnsi="Arial" w:cs="Arial"/>
          <w:bCs/>
          <w:sz w:val="22"/>
          <w:szCs w:val="22"/>
          <w:highlight w:val="yellow"/>
        </w:rPr>
      </w:pPr>
    </w:p>
    <w:p w14:paraId="2419E6E6" w14:textId="77777777" w:rsidR="009D732D" w:rsidRDefault="009D732D" w:rsidP="005A621A">
      <w:pPr>
        <w:shd w:val="clear" w:color="auto" w:fill="FFFFFF"/>
        <w:ind w:left="567"/>
        <w:rPr>
          <w:rFonts w:ascii="Arial" w:eastAsia="Times New Roman" w:hAnsi="Arial" w:cs="Arial"/>
          <w:bCs/>
          <w:sz w:val="22"/>
          <w:szCs w:val="22"/>
          <w:highlight w:val="yellow"/>
        </w:rPr>
      </w:pPr>
    </w:p>
    <w:p w14:paraId="10BBBAC2" w14:textId="77777777" w:rsidR="009D732D" w:rsidRDefault="009D732D" w:rsidP="005A621A">
      <w:pPr>
        <w:shd w:val="clear" w:color="auto" w:fill="FFFFFF"/>
        <w:ind w:left="567"/>
        <w:rPr>
          <w:rFonts w:ascii="Arial" w:eastAsia="Times New Roman" w:hAnsi="Arial" w:cs="Arial"/>
          <w:bCs/>
          <w:sz w:val="22"/>
          <w:szCs w:val="22"/>
          <w:highlight w:val="yellow"/>
        </w:rPr>
      </w:pPr>
    </w:p>
    <w:p w14:paraId="0CF8569B" w14:textId="77777777" w:rsidR="009D732D" w:rsidRPr="00426C26" w:rsidRDefault="009D732D" w:rsidP="005A621A">
      <w:pPr>
        <w:shd w:val="clear" w:color="auto" w:fill="FFFFFF"/>
        <w:ind w:left="567"/>
        <w:rPr>
          <w:rFonts w:ascii="Arial" w:eastAsia="Times New Roman" w:hAnsi="Arial" w:cs="Arial"/>
          <w:bCs/>
          <w:sz w:val="22"/>
          <w:szCs w:val="22"/>
          <w:highlight w:val="yellow"/>
        </w:rPr>
      </w:pPr>
    </w:p>
    <w:p w14:paraId="4119A188" w14:textId="3DBF4668" w:rsidR="005A621A" w:rsidRPr="009D732D" w:rsidRDefault="005A621A" w:rsidP="009D732D">
      <w:pPr>
        <w:shd w:val="clear" w:color="auto" w:fill="FFFFFF"/>
        <w:ind w:left="720"/>
        <w:rPr>
          <w:rFonts w:ascii="Arial" w:eastAsia="Times New Roman" w:hAnsi="Arial" w:cs="Arial"/>
          <w:bCs/>
          <w:i/>
          <w:sz w:val="22"/>
          <w:szCs w:val="22"/>
          <w:highlight w:val="yellow"/>
        </w:rPr>
      </w:pPr>
      <w:r w:rsidRPr="00426C26">
        <w:rPr>
          <w:rFonts w:ascii="Arial" w:eastAsia="Times New Roman" w:hAnsi="Arial" w:cs="Arial"/>
          <w:bCs/>
          <w:i/>
          <w:sz w:val="22"/>
          <w:szCs w:val="22"/>
          <w:highlight w:val="yellow"/>
        </w:rPr>
        <w:t>41</w:t>
      </w:r>
      <w:r w:rsidR="00EF532E">
        <w:rPr>
          <w:rFonts w:ascii="Arial" w:eastAsia="Times New Roman" w:hAnsi="Arial" w:cs="Arial"/>
          <w:bCs/>
          <w:i/>
          <w:sz w:val="22"/>
          <w:szCs w:val="22"/>
          <w:highlight w:val="yellow"/>
        </w:rPr>
        <w:t xml:space="preserve">. </w:t>
      </w:r>
      <w:r w:rsidRPr="00426C26">
        <w:rPr>
          <w:rFonts w:ascii="Arial" w:eastAsia="Times New Roman" w:hAnsi="Arial" w:cs="Arial"/>
          <w:bCs/>
          <w:i/>
          <w:sz w:val="22"/>
          <w:szCs w:val="22"/>
          <w:highlight w:val="yellow"/>
        </w:rPr>
        <w:t>In </w:t>
      </w:r>
      <w:proofErr w:type="spellStart"/>
      <w:r w:rsidRPr="00426C26">
        <w:rPr>
          <w:rFonts w:ascii="Arial" w:eastAsia="Times New Roman" w:hAnsi="Arial" w:cs="Arial"/>
          <w:bCs/>
          <w:i/>
          <w:iCs/>
          <w:sz w:val="22"/>
          <w:szCs w:val="22"/>
          <w:highlight w:val="yellow"/>
        </w:rPr>
        <w:t>Koutsourais</w:t>
      </w:r>
      <w:proofErr w:type="spellEnd"/>
      <w:r w:rsidRPr="00426C26">
        <w:rPr>
          <w:rFonts w:ascii="Arial" w:eastAsia="Times New Roman" w:hAnsi="Arial" w:cs="Arial"/>
          <w:bCs/>
          <w:i/>
          <w:sz w:val="22"/>
          <w:szCs w:val="22"/>
          <w:highlight w:val="yellow"/>
        </w:rPr>
        <w:t xml:space="preserve">, Hodgson JA helpfully identified factors which pointed one way and the other. Significant considerations in </w:t>
      </w:r>
      <w:proofErr w:type="spellStart"/>
      <w:r w:rsidRPr="00426C26">
        <w:rPr>
          <w:rFonts w:ascii="Arial" w:eastAsia="Times New Roman" w:hAnsi="Arial" w:cs="Arial"/>
          <w:bCs/>
          <w:i/>
          <w:sz w:val="22"/>
          <w:szCs w:val="22"/>
          <w:highlight w:val="yellow"/>
        </w:rPr>
        <w:t>favour</w:t>
      </w:r>
      <w:proofErr w:type="spellEnd"/>
      <w:r w:rsidRPr="00426C26">
        <w:rPr>
          <w:rFonts w:ascii="Arial" w:eastAsia="Times New Roman" w:hAnsi="Arial" w:cs="Arial"/>
          <w:bCs/>
          <w:i/>
          <w:sz w:val="22"/>
          <w:szCs w:val="22"/>
          <w:highlight w:val="yellow"/>
        </w:rPr>
        <w:t xml:space="preserve"> of the conclusion that, despite the accord and satisfaction represented by the instalment agreement, the proceedings were still for the recovery of costs, included (1) that the amount to be paid was still the precise amount claimed for costs, and (2) that the entity identified as liable for the whole was one of two entities together previously liable for the whole of the costs, albeit in undetermined shares. Those two factors are present in the instant case: the amount claimed under the deed is the precise amount of the legal costs outstanding as at the date of the deed; and the parties against whom it is claimed are the parties who were pr</w:t>
      </w:r>
      <w:r w:rsidR="009D732D">
        <w:rPr>
          <w:rFonts w:ascii="Arial" w:eastAsia="Times New Roman" w:hAnsi="Arial" w:cs="Arial"/>
          <w:bCs/>
          <w:i/>
          <w:sz w:val="22"/>
          <w:szCs w:val="22"/>
          <w:highlight w:val="yellow"/>
        </w:rPr>
        <w:t>eviously liable for those costs.</w:t>
      </w:r>
    </w:p>
    <w:p w14:paraId="324B1210" w14:textId="77777777" w:rsidR="00B941AA" w:rsidRPr="00426C26" w:rsidRDefault="00B941AA" w:rsidP="005A621A">
      <w:pPr>
        <w:shd w:val="clear" w:color="auto" w:fill="FFFFFF"/>
        <w:ind w:left="567"/>
        <w:rPr>
          <w:rFonts w:ascii="Arial" w:eastAsia="Times New Roman" w:hAnsi="Arial" w:cs="Arial"/>
          <w:bCs/>
          <w:sz w:val="22"/>
          <w:szCs w:val="22"/>
          <w:highlight w:val="yellow"/>
        </w:rPr>
      </w:pPr>
    </w:p>
    <w:p w14:paraId="0500CCF4" w14:textId="77777777" w:rsidR="00B941AA" w:rsidRPr="00426C26" w:rsidRDefault="00B941AA" w:rsidP="005A621A">
      <w:pPr>
        <w:shd w:val="clear" w:color="auto" w:fill="FFFFFF"/>
        <w:ind w:left="567"/>
        <w:rPr>
          <w:rFonts w:ascii="Arial" w:eastAsia="Times New Roman" w:hAnsi="Arial" w:cs="Arial"/>
          <w:bCs/>
          <w:i/>
          <w:sz w:val="22"/>
          <w:szCs w:val="22"/>
          <w:highlight w:val="yellow"/>
        </w:rPr>
      </w:pPr>
    </w:p>
    <w:p w14:paraId="58F8E207" w14:textId="63E570FD" w:rsidR="005A621A" w:rsidRPr="00426C26" w:rsidRDefault="005A621A" w:rsidP="005A621A">
      <w:pPr>
        <w:shd w:val="clear" w:color="auto" w:fill="FFFFFF"/>
        <w:ind w:left="567"/>
        <w:rPr>
          <w:rFonts w:ascii="Arial" w:eastAsia="Times New Roman" w:hAnsi="Arial" w:cs="Arial"/>
          <w:bCs/>
          <w:i/>
          <w:sz w:val="22"/>
          <w:szCs w:val="22"/>
          <w:highlight w:val="yellow"/>
        </w:rPr>
      </w:pPr>
      <w:r w:rsidRPr="00426C26">
        <w:rPr>
          <w:rFonts w:ascii="Arial" w:eastAsia="Times New Roman" w:hAnsi="Arial" w:cs="Arial"/>
          <w:bCs/>
          <w:i/>
          <w:sz w:val="22"/>
          <w:szCs w:val="22"/>
          <w:highlight w:val="yellow"/>
        </w:rPr>
        <w:t xml:space="preserve">42 None of the factors which his </w:t>
      </w:r>
      <w:proofErr w:type="spellStart"/>
      <w:r w:rsidRPr="00426C26">
        <w:rPr>
          <w:rFonts w:ascii="Arial" w:eastAsia="Times New Roman" w:hAnsi="Arial" w:cs="Arial"/>
          <w:bCs/>
          <w:i/>
          <w:sz w:val="22"/>
          <w:szCs w:val="22"/>
          <w:highlight w:val="yellow"/>
        </w:rPr>
        <w:t>Honour</w:t>
      </w:r>
      <w:proofErr w:type="spellEnd"/>
      <w:r w:rsidRPr="00426C26">
        <w:rPr>
          <w:rFonts w:ascii="Arial" w:eastAsia="Times New Roman" w:hAnsi="Arial" w:cs="Arial"/>
          <w:bCs/>
          <w:i/>
          <w:sz w:val="22"/>
          <w:szCs w:val="22"/>
          <w:highlight w:val="yellow"/>
        </w:rPr>
        <w:t xml:space="preserve"> identified as potentially rendering a proceeding ultimately based on a lawyer's entitlement to costs as one other than a proceeding for recovery of costs are present: there has been no compromise of previous legal proceedings in respect of those costs, let alone one involving other matters as well as costs; there has been no acceptance in respect of costs of a substantially lesser sum; and, although there is reference in the agreement to an opportunity to obtain legal advice, there is no evidence that legal advice was in fact obtained at the time of the deed. </w:t>
      </w:r>
    </w:p>
    <w:p w14:paraId="5F040E78" w14:textId="77777777" w:rsidR="005A621A" w:rsidRPr="00A31336" w:rsidRDefault="005A621A" w:rsidP="005A621A">
      <w:pPr>
        <w:shd w:val="clear" w:color="auto" w:fill="FFFFFF"/>
        <w:ind w:left="567"/>
        <w:rPr>
          <w:rFonts w:ascii="Arial" w:eastAsia="Times New Roman" w:hAnsi="Arial" w:cs="Arial"/>
          <w:sz w:val="22"/>
          <w:szCs w:val="22"/>
          <w:highlight w:val="yellow"/>
        </w:rPr>
      </w:pPr>
    </w:p>
    <w:p w14:paraId="1314F744" w14:textId="77777777" w:rsidR="005A621A" w:rsidRPr="00E92B57" w:rsidRDefault="005A621A" w:rsidP="005A621A">
      <w:pPr>
        <w:spacing w:after="200" w:line="276" w:lineRule="auto"/>
        <w:ind w:left="567"/>
        <w:rPr>
          <w:rStyle w:val="P1"/>
          <w:rFonts w:ascii="Arial" w:hAnsi="Arial" w:cs="Arial"/>
          <w:b/>
          <w:sz w:val="22"/>
          <w:szCs w:val="22"/>
        </w:rPr>
      </w:pPr>
    </w:p>
    <w:p w14:paraId="265EB3A3" w14:textId="77777777" w:rsidR="005A621A" w:rsidRDefault="005A621A" w:rsidP="005A621A">
      <w:pPr>
        <w:jc w:val="center"/>
        <w:rPr>
          <w:rFonts w:ascii="Arial" w:hAnsi="Arial" w:cs="Arial"/>
          <w:b/>
          <w:sz w:val="32"/>
          <w:szCs w:val="40"/>
          <w:highlight w:val="yellow"/>
        </w:rPr>
      </w:pPr>
    </w:p>
    <w:p w14:paraId="1A1E3614" w14:textId="77777777" w:rsidR="005A621A" w:rsidRDefault="005A621A" w:rsidP="005A621A">
      <w:pPr>
        <w:jc w:val="center"/>
        <w:rPr>
          <w:rFonts w:ascii="Arial" w:hAnsi="Arial" w:cs="Arial"/>
          <w:b/>
          <w:sz w:val="32"/>
          <w:szCs w:val="40"/>
          <w:highlight w:val="yellow"/>
        </w:rPr>
      </w:pPr>
    </w:p>
    <w:p w14:paraId="742C740C" w14:textId="77777777" w:rsidR="005A621A" w:rsidRDefault="005A621A" w:rsidP="005A621A">
      <w:pPr>
        <w:jc w:val="center"/>
        <w:rPr>
          <w:rFonts w:ascii="Arial" w:hAnsi="Arial" w:cs="Arial"/>
          <w:b/>
          <w:sz w:val="32"/>
          <w:szCs w:val="40"/>
          <w:highlight w:val="yellow"/>
        </w:rPr>
      </w:pPr>
      <w:r w:rsidRPr="00C77F2C">
        <w:rPr>
          <w:rFonts w:ascii="Arial" w:hAnsi="Arial" w:cs="Arial"/>
          <w:b/>
          <w:sz w:val="32"/>
          <w:szCs w:val="40"/>
          <w:highlight w:val="yellow"/>
        </w:rPr>
        <w:t xml:space="preserve">THIS </w:t>
      </w:r>
      <w:r>
        <w:rPr>
          <w:rFonts w:ascii="Arial" w:hAnsi="Arial" w:cs="Arial"/>
          <w:b/>
          <w:sz w:val="32"/>
          <w:szCs w:val="40"/>
          <w:highlight w:val="yellow"/>
        </w:rPr>
        <w:t>PAGE</w:t>
      </w:r>
      <w:r w:rsidRPr="00C77F2C">
        <w:rPr>
          <w:rFonts w:ascii="Arial" w:hAnsi="Arial" w:cs="Arial"/>
          <w:b/>
          <w:sz w:val="32"/>
          <w:szCs w:val="40"/>
          <w:highlight w:val="yellow"/>
        </w:rPr>
        <w:t xml:space="preserve"> DOES NOT FORM PART OF THE </w:t>
      </w:r>
      <w:r>
        <w:rPr>
          <w:rFonts w:ascii="Arial" w:hAnsi="Arial" w:cs="Arial"/>
          <w:b/>
          <w:sz w:val="32"/>
          <w:szCs w:val="40"/>
          <w:highlight w:val="yellow"/>
        </w:rPr>
        <w:t>DEED</w:t>
      </w:r>
      <w:r w:rsidRPr="00C77F2C">
        <w:rPr>
          <w:rFonts w:ascii="Arial" w:hAnsi="Arial" w:cs="Arial"/>
          <w:b/>
          <w:sz w:val="32"/>
          <w:szCs w:val="40"/>
          <w:highlight w:val="yellow"/>
        </w:rPr>
        <w:t xml:space="preserve"> </w:t>
      </w:r>
    </w:p>
    <w:p w14:paraId="140D6A25" w14:textId="06DA3AA6" w:rsidR="005A621A" w:rsidRDefault="005A621A" w:rsidP="005A621A">
      <w:pPr>
        <w:jc w:val="center"/>
        <w:rPr>
          <w:rFonts w:ascii="Arial" w:hAnsi="Arial" w:cs="Arial"/>
          <w:b/>
          <w:sz w:val="32"/>
          <w:szCs w:val="40"/>
        </w:rPr>
      </w:pPr>
      <w:r w:rsidRPr="00C77F2C">
        <w:rPr>
          <w:rFonts w:ascii="Arial" w:hAnsi="Arial" w:cs="Arial"/>
          <w:b/>
          <w:sz w:val="32"/>
          <w:szCs w:val="40"/>
          <w:highlight w:val="yellow"/>
        </w:rPr>
        <w:t>AND SHOULD BE DELETED BEFORE THE D</w:t>
      </w:r>
      <w:r w:rsidR="00B941AA">
        <w:rPr>
          <w:rFonts w:ascii="Arial" w:hAnsi="Arial" w:cs="Arial"/>
          <w:b/>
          <w:sz w:val="32"/>
          <w:szCs w:val="40"/>
          <w:highlight w:val="yellow"/>
        </w:rPr>
        <w:t>EED</w:t>
      </w:r>
      <w:r w:rsidRPr="00C77F2C">
        <w:rPr>
          <w:rFonts w:ascii="Arial" w:hAnsi="Arial" w:cs="Arial"/>
          <w:b/>
          <w:sz w:val="32"/>
          <w:szCs w:val="40"/>
          <w:highlight w:val="yellow"/>
        </w:rPr>
        <w:t xml:space="preserve"> IS USED</w:t>
      </w:r>
    </w:p>
    <w:p w14:paraId="61ADCEDA" w14:textId="77777777" w:rsidR="005A621A" w:rsidRDefault="005A621A" w:rsidP="005A621A">
      <w:pPr>
        <w:spacing w:after="200" w:line="276" w:lineRule="auto"/>
        <w:rPr>
          <w:rStyle w:val="P1"/>
          <w:rFonts w:ascii="Arial" w:hAnsi="Arial" w:cs="Arial"/>
          <w:b/>
          <w:sz w:val="34"/>
        </w:rPr>
      </w:pPr>
    </w:p>
    <w:p w14:paraId="3D08379C" w14:textId="77777777" w:rsidR="005A621A" w:rsidRDefault="005A621A">
      <w:pPr>
        <w:rPr>
          <w:lang w:val="en-AU"/>
        </w:rPr>
      </w:pPr>
      <w:r>
        <w:rPr>
          <w:lang w:val="en-AU"/>
        </w:rPr>
        <w:br w:type="page"/>
      </w:r>
    </w:p>
    <w:p w14:paraId="6925D13E" w14:textId="2612DF2B" w:rsidR="00881EFE" w:rsidRDefault="00B31655">
      <w:pPr>
        <w:rPr>
          <w:lang w:val="en-AU"/>
        </w:rPr>
      </w:pPr>
      <w:r>
        <w:rPr>
          <w:lang w:val="en-AU"/>
        </w:rPr>
        <w:lastRenderedPageBreak/>
        <w:t>THIS DEED Is made this</w:t>
      </w:r>
      <w:r>
        <w:rPr>
          <w:lang w:val="en-AU"/>
        </w:rPr>
        <w:tab/>
      </w:r>
      <w:r>
        <w:rPr>
          <w:lang w:val="en-AU"/>
        </w:rPr>
        <w:tab/>
        <w:t xml:space="preserve">day of </w:t>
      </w:r>
      <w:r>
        <w:rPr>
          <w:lang w:val="en-AU"/>
        </w:rPr>
        <w:tab/>
      </w:r>
      <w:r>
        <w:rPr>
          <w:lang w:val="en-AU"/>
        </w:rPr>
        <w:tab/>
      </w:r>
      <w:r>
        <w:rPr>
          <w:lang w:val="en-AU"/>
        </w:rPr>
        <w:tab/>
      </w:r>
      <w:r>
        <w:rPr>
          <w:lang w:val="en-AU"/>
        </w:rPr>
        <w:tab/>
      </w:r>
      <w:r>
        <w:rPr>
          <w:lang w:val="en-AU"/>
        </w:rPr>
        <w:tab/>
        <w:t>2016</w:t>
      </w:r>
    </w:p>
    <w:p w14:paraId="6AD927FD" w14:textId="77777777" w:rsidR="00B31655" w:rsidRDefault="00B31655">
      <w:pPr>
        <w:rPr>
          <w:lang w:val="en-AU"/>
        </w:rPr>
      </w:pPr>
    </w:p>
    <w:p w14:paraId="0E26D933" w14:textId="03674210" w:rsidR="00AC15B0" w:rsidRDefault="00B31655">
      <w:pPr>
        <w:rPr>
          <w:lang w:val="en-AU"/>
        </w:rPr>
      </w:pPr>
      <w:r>
        <w:rPr>
          <w:lang w:val="en-AU"/>
        </w:rPr>
        <w:t>Parties</w:t>
      </w:r>
    </w:p>
    <w:p w14:paraId="03EA41DA" w14:textId="2B5E0CB2" w:rsidR="00B31655" w:rsidRDefault="00B31655" w:rsidP="00AC15B0">
      <w:pPr>
        <w:jc w:val="right"/>
        <w:rPr>
          <w:lang w:val="en-AU"/>
        </w:rPr>
      </w:pPr>
      <w:r>
        <w:rPr>
          <w:lang w:val="en-AU"/>
        </w:rPr>
        <w:t>(“Lawyer”)</w:t>
      </w:r>
    </w:p>
    <w:p w14:paraId="4CECF8F9" w14:textId="77777777" w:rsidR="00B31655" w:rsidRDefault="00B31655" w:rsidP="00B31655">
      <w:pPr>
        <w:jc w:val="right"/>
        <w:rPr>
          <w:lang w:val="en-AU"/>
        </w:rPr>
      </w:pPr>
    </w:p>
    <w:p w14:paraId="3A184BD0" w14:textId="77777777" w:rsidR="00B31655" w:rsidRDefault="00B31655" w:rsidP="00B31655">
      <w:pPr>
        <w:jc w:val="right"/>
        <w:rPr>
          <w:lang w:val="en-AU"/>
        </w:rPr>
      </w:pPr>
      <w:r>
        <w:rPr>
          <w:lang w:val="en-AU"/>
        </w:rPr>
        <w:t>(“Client”)</w:t>
      </w:r>
    </w:p>
    <w:p w14:paraId="43F1B0D6" w14:textId="77777777" w:rsidR="00B31655" w:rsidRPr="00AC15B0" w:rsidRDefault="00B31655" w:rsidP="00B31655">
      <w:pPr>
        <w:rPr>
          <w:b/>
          <w:i/>
          <w:lang w:val="en-AU"/>
        </w:rPr>
      </w:pPr>
      <w:r w:rsidRPr="00AC15B0">
        <w:rPr>
          <w:b/>
          <w:i/>
          <w:lang w:val="en-AU"/>
        </w:rPr>
        <w:t>Recitals</w:t>
      </w:r>
    </w:p>
    <w:p w14:paraId="2A19DA9C" w14:textId="77777777" w:rsidR="00B31655" w:rsidRDefault="00B31655" w:rsidP="00B31655">
      <w:pPr>
        <w:rPr>
          <w:lang w:val="en-AU"/>
        </w:rPr>
      </w:pPr>
    </w:p>
    <w:p w14:paraId="3CE4567C" w14:textId="6343A504" w:rsidR="00B31655" w:rsidRPr="00854938" w:rsidRDefault="00B31655" w:rsidP="00854938">
      <w:pPr>
        <w:pStyle w:val="ListParagraph"/>
        <w:numPr>
          <w:ilvl w:val="0"/>
          <w:numId w:val="3"/>
        </w:numPr>
        <w:ind w:hanging="720"/>
        <w:rPr>
          <w:lang w:val="en-AU"/>
        </w:rPr>
      </w:pPr>
      <w:r w:rsidRPr="00854938">
        <w:rPr>
          <w:lang w:val="en-AU"/>
        </w:rPr>
        <w:t>Client has been a client of Lawyer;</w:t>
      </w:r>
    </w:p>
    <w:p w14:paraId="1ED69549" w14:textId="77777777" w:rsidR="00B31655" w:rsidRDefault="00B31655" w:rsidP="00B31655">
      <w:pPr>
        <w:ind w:left="1134" w:hanging="1134"/>
        <w:rPr>
          <w:lang w:val="en-AU"/>
        </w:rPr>
      </w:pPr>
    </w:p>
    <w:p w14:paraId="2929DAE0" w14:textId="08FE2298" w:rsidR="00B31655" w:rsidRDefault="00854938" w:rsidP="00854938">
      <w:pPr>
        <w:pStyle w:val="ListParagraph"/>
        <w:numPr>
          <w:ilvl w:val="0"/>
          <w:numId w:val="3"/>
        </w:numPr>
        <w:ind w:hanging="720"/>
        <w:rPr>
          <w:lang w:val="en-AU"/>
        </w:rPr>
      </w:pPr>
      <w:r>
        <w:rPr>
          <w:lang w:val="en-AU"/>
        </w:rPr>
        <w:t>L</w:t>
      </w:r>
      <w:r w:rsidR="00B31655">
        <w:rPr>
          <w:lang w:val="en-AU"/>
        </w:rPr>
        <w:t>awyer has undertaken legal services for Client;</w:t>
      </w:r>
    </w:p>
    <w:p w14:paraId="45BE968C" w14:textId="77777777" w:rsidR="00B31655" w:rsidRDefault="00B31655" w:rsidP="00B31655">
      <w:pPr>
        <w:ind w:left="1134" w:hanging="1134"/>
        <w:rPr>
          <w:lang w:val="en-AU"/>
        </w:rPr>
      </w:pPr>
    </w:p>
    <w:p w14:paraId="3BA2442A" w14:textId="610AB30E" w:rsidR="00B31655" w:rsidRDefault="00B31655" w:rsidP="00854938">
      <w:pPr>
        <w:pStyle w:val="ListParagraph"/>
        <w:numPr>
          <w:ilvl w:val="0"/>
          <w:numId w:val="3"/>
        </w:numPr>
        <w:ind w:hanging="720"/>
        <w:rPr>
          <w:lang w:val="en-AU"/>
        </w:rPr>
      </w:pPr>
      <w:r>
        <w:rPr>
          <w:lang w:val="en-AU"/>
        </w:rPr>
        <w:t>Lawyer has rendered bills of costs to Client;</w:t>
      </w:r>
    </w:p>
    <w:p w14:paraId="5B1DC7C9" w14:textId="77777777" w:rsidR="00B31655" w:rsidRDefault="00B31655" w:rsidP="00B31655">
      <w:pPr>
        <w:ind w:left="1134" w:hanging="1134"/>
        <w:rPr>
          <w:lang w:val="en-AU"/>
        </w:rPr>
      </w:pPr>
    </w:p>
    <w:p w14:paraId="208663A1" w14:textId="1E6610F5" w:rsidR="00B31655" w:rsidRDefault="002B0000" w:rsidP="00854938">
      <w:pPr>
        <w:pStyle w:val="ListParagraph"/>
        <w:numPr>
          <w:ilvl w:val="0"/>
          <w:numId w:val="3"/>
        </w:numPr>
        <w:ind w:hanging="720"/>
        <w:rPr>
          <w:lang w:val="en-AU"/>
        </w:rPr>
      </w:pPr>
      <w:r>
        <w:rPr>
          <w:lang w:val="en-AU"/>
        </w:rPr>
        <w:t>D</w:t>
      </w:r>
      <w:r w:rsidR="00B31655">
        <w:rPr>
          <w:lang w:val="en-AU"/>
        </w:rPr>
        <w:t>ispute</w:t>
      </w:r>
      <w:r>
        <w:rPr>
          <w:lang w:val="en-AU"/>
        </w:rPr>
        <w:t>s</w:t>
      </w:r>
      <w:r w:rsidR="00B31655">
        <w:rPr>
          <w:lang w:val="en-AU"/>
        </w:rPr>
        <w:t xml:space="preserve"> </w:t>
      </w:r>
      <w:r>
        <w:rPr>
          <w:lang w:val="en-AU"/>
        </w:rPr>
        <w:t>have</w:t>
      </w:r>
      <w:r w:rsidR="00B31655">
        <w:rPr>
          <w:lang w:val="en-AU"/>
        </w:rPr>
        <w:t xml:space="preserve"> arisen between Lawyer and Client;</w:t>
      </w:r>
    </w:p>
    <w:p w14:paraId="5EA8E9C2" w14:textId="77777777" w:rsidR="00B31655" w:rsidRDefault="00B31655" w:rsidP="00B31655">
      <w:pPr>
        <w:ind w:left="1134" w:hanging="1134"/>
        <w:rPr>
          <w:lang w:val="en-AU"/>
        </w:rPr>
      </w:pPr>
    </w:p>
    <w:p w14:paraId="111CA241" w14:textId="19875785" w:rsidR="00B31655" w:rsidRDefault="00F64121" w:rsidP="00854938">
      <w:pPr>
        <w:pStyle w:val="ListParagraph"/>
        <w:numPr>
          <w:ilvl w:val="0"/>
          <w:numId w:val="3"/>
        </w:numPr>
        <w:ind w:hanging="720"/>
        <w:rPr>
          <w:lang w:val="en-AU"/>
        </w:rPr>
      </w:pPr>
      <w:r>
        <w:rPr>
          <w:lang w:val="en-AU"/>
        </w:rPr>
        <w:t xml:space="preserve">Both </w:t>
      </w:r>
      <w:r w:rsidR="00B31655">
        <w:rPr>
          <w:lang w:val="en-AU"/>
        </w:rPr>
        <w:t xml:space="preserve">Client </w:t>
      </w:r>
      <w:r>
        <w:rPr>
          <w:lang w:val="en-AU"/>
        </w:rPr>
        <w:t>and Lawyer have</w:t>
      </w:r>
      <w:r w:rsidR="003921A7">
        <w:rPr>
          <w:lang w:val="en-AU"/>
        </w:rPr>
        <w:t xml:space="preserve"> the right to have the costs assessed pursuant to the </w:t>
      </w:r>
      <w:r w:rsidR="00AC15B0">
        <w:rPr>
          <w:i/>
          <w:lang w:val="en-AU"/>
        </w:rPr>
        <w:t>Legal Profession Act</w:t>
      </w:r>
      <w:r w:rsidR="00AC15B0">
        <w:rPr>
          <w:lang w:val="en-AU"/>
        </w:rPr>
        <w:t xml:space="preserve"> 2004 </w:t>
      </w:r>
      <w:r w:rsidR="003472D5">
        <w:rPr>
          <w:lang w:val="en-AU"/>
        </w:rPr>
        <w:t xml:space="preserve">(the Act) </w:t>
      </w:r>
      <w:r w:rsidR="00AC15B0" w:rsidRPr="00AC15B0">
        <w:rPr>
          <w:lang w:val="en-AU"/>
        </w:rPr>
        <w:t>or the</w:t>
      </w:r>
      <w:r w:rsidR="00AC15B0">
        <w:rPr>
          <w:i/>
          <w:lang w:val="en-AU"/>
        </w:rPr>
        <w:t xml:space="preserve"> </w:t>
      </w:r>
      <w:r w:rsidR="003921A7" w:rsidRPr="00AC15B0">
        <w:rPr>
          <w:i/>
          <w:lang w:val="en-AU"/>
        </w:rPr>
        <w:t xml:space="preserve">Legal </w:t>
      </w:r>
      <w:r w:rsidR="003921A7" w:rsidRPr="003472D5">
        <w:rPr>
          <w:i/>
          <w:lang w:val="en-AU"/>
        </w:rPr>
        <w:t xml:space="preserve">Profession </w:t>
      </w:r>
      <w:r w:rsidR="00854938" w:rsidRPr="003472D5">
        <w:rPr>
          <w:i/>
          <w:lang w:val="en-AU"/>
        </w:rPr>
        <w:t>Uniform</w:t>
      </w:r>
      <w:r w:rsidR="003921A7" w:rsidRPr="003472D5">
        <w:rPr>
          <w:i/>
          <w:lang w:val="en-AU"/>
        </w:rPr>
        <w:t xml:space="preserve"> Law</w:t>
      </w:r>
      <w:r w:rsidR="003921A7" w:rsidRPr="003472D5">
        <w:rPr>
          <w:lang w:val="en-AU"/>
        </w:rPr>
        <w:t xml:space="preserve"> (NSW) </w:t>
      </w:r>
      <w:r w:rsidR="003472D5" w:rsidRPr="003472D5">
        <w:rPr>
          <w:lang w:val="en-AU"/>
        </w:rPr>
        <w:t>2014</w:t>
      </w:r>
      <w:r w:rsidR="003472D5" w:rsidRPr="003472D5">
        <w:rPr>
          <w:color w:val="FF0000"/>
          <w:lang w:val="en-AU"/>
        </w:rPr>
        <w:t xml:space="preserve"> </w:t>
      </w:r>
      <w:r w:rsidR="003472D5">
        <w:rPr>
          <w:lang w:val="en-AU"/>
        </w:rPr>
        <w:t xml:space="preserve">(the Uniform Law) </w:t>
      </w:r>
      <w:r w:rsidR="00186F98" w:rsidRPr="003472D5">
        <w:rPr>
          <w:lang w:val="en-AU"/>
        </w:rPr>
        <w:t xml:space="preserve">but </w:t>
      </w:r>
      <w:r w:rsidR="004720CA" w:rsidRPr="003472D5">
        <w:rPr>
          <w:lang w:val="en-AU"/>
        </w:rPr>
        <w:t>neither wishes</w:t>
      </w:r>
      <w:r w:rsidR="00186F98" w:rsidRPr="003472D5">
        <w:rPr>
          <w:lang w:val="en-AU"/>
        </w:rPr>
        <w:t xml:space="preserve"> to apply for a determination of the costs;</w:t>
      </w:r>
      <w:r w:rsidR="00E338DC" w:rsidRPr="003472D5">
        <w:rPr>
          <w:lang w:val="en-AU"/>
        </w:rPr>
        <w:t xml:space="preserve"> OR</w:t>
      </w:r>
    </w:p>
    <w:p w14:paraId="33F46D00" w14:textId="77777777" w:rsidR="00854938" w:rsidRPr="00854938" w:rsidRDefault="00854938" w:rsidP="00854938">
      <w:pPr>
        <w:pStyle w:val="ListParagraph"/>
        <w:rPr>
          <w:lang w:val="en-AU"/>
        </w:rPr>
      </w:pPr>
    </w:p>
    <w:p w14:paraId="34C63BE4" w14:textId="27BD4CE7" w:rsidR="00854938" w:rsidRPr="004545A5" w:rsidRDefault="00E338DC" w:rsidP="005F609A">
      <w:pPr>
        <w:ind w:left="709" w:hanging="709"/>
        <w:rPr>
          <w:lang w:val="en-AU"/>
        </w:rPr>
      </w:pPr>
      <w:r w:rsidRPr="003472D5">
        <w:rPr>
          <w:lang w:val="en-AU"/>
        </w:rPr>
        <w:t>E.</w:t>
      </w:r>
      <w:r w:rsidRPr="003472D5">
        <w:rPr>
          <w:lang w:val="en-AU"/>
        </w:rPr>
        <w:tab/>
      </w:r>
      <w:r w:rsidR="00854938" w:rsidRPr="003472D5">
        <w:rPr>
          <w:lang w:val="en-AU"/>
        </w:rPr>
        <w:t xml:space="preserve">Client is aware that </w:t>
      </w:r>
      <w:r w:rsidR="009E5FC1" w:rsidRPr="003472D5">
        <w:rPr>
          <w:lang w:val="en-AU"/>
        </w:rPr>
        <w:t xml:space="preserve">Client can make a </w:t>
      </w:r>
      <w:r w:rsidR="005F609A" w:rsidRPr="003472D5">
        <w:rPr>
          <w:lang w:val="en-AU"/>
        </w:rPr>
        <w:t xml:space="preserve">costs </w:t>
      </w:r>
      <w:r w:rsidR="009E5FC1" w:rsidRPr="003472D5">
        <w:rPr>
          <w:lang w:val="en-AU"/>
        </w:rPr>
        <w:t xml:space="preserve">complaint about the costs pursuant to the </w:t>
      </w:r>
      <w:r w:rsidR="003472D5" w:rsidRPr="003472D5">
        <w:rPr>
          <w:lang w:val="en-AU"/>
        </w:rPr>
        <w:t>Uniform Law</w:t>
      </w:r>
      <w:r w:rsidR="009E5FC1" w:rsidRPr="003472D5">
        <w:rPr>
          <w:lang w:val="en-AU"/>
        </w:rPr>
        <w:t xml:space="preserve"> but does not wish to make such a </w:t>
      </w:r>
      <w:r w:rsidR="005F609A" w:rsidRPr="003472D5">
        <w:rPr>
          <w:lang w:val="en-AU"/>
        </w:rPr>
        <w:t>complain</w:t>
      </w:r>
      <w:r w:rsidR="000C03F5">
        <w:rPr>
          <w:lang w:val="en-AU"/>
        </w:rPr>
        <w:t xml:space="preserve">t and </w:t>
      </w:r>
      <w:r w:rsidR="000C03F5" w:rsidRPr="004545A5">
        <w:rPr>
          <w:lang w:val="en-AU"/>
        </w:rPr>
        <w:t xml:space="preserve">Lawyer is aware that Lawyer has the right to have the costs assessed pursuant to the </w:t>
      </w:r>
      <w:r w:rsidR="000C03F5" w:rsidRPr="004545A5">
        <w:rPr>
          <w:i/>
          <w:lang w:val="en-AU"/>
        </w:rPr>
        <w:t>Legal Profession Act</w:t>
      </w:r>
      <w:r w:rsidR="000C03F5" w:rsidRPr="004545A5">
        <w:rPr>
          <w:lang w:val="en-AU"/>
        </w:rPr>
        <w:t xml:space="preserve"> 2004 (the Act) or the</w:t>
      </w:r>
      <w:r w:rsidR="000C03F5" w:rsidRPr="004545A5">
        <w:rPr>
          <w:i/>
          <w:lang w:val="en-AU"/>
        </w:rPr>
        <w:t xml:space="preserve"> Legal Profession Uniform Law</w:t>
      </w:r>
      <w:r w:rsidR="000C03F5" w:rsidRPr="004545A5">
        <w:rPr>
          <w:lang w:val="en-AU"/>
        </w:rPr>
        <w:t xml:space="preserve"> (NSW) 2014</w:t>
      </w:r>
      <w:r w:rsidR="000C03F5" w:rsidRPr="004545A5">
        <w:rPr>
          <w:color w:val="FF0000"/>
          <w:lang w:val="en-AU"/>
        </w:rPr>
        <w:t xml:space="preserve"> </w:t>
      </w:r>
      <w:r w:rsidR="000C03F5" w:rsidRPr="004545A5">
        <w:rPr>
          <w:lang w:val="en-AU"/>
        </w:rPr>
        <w:t>(the Uniform Law) but does not wish to apply for a determination of the costs</w:t>
      </w:r>
      <w:r w:rsidR="009E5FC1" w:rsidRPr="004545A5">
        <w:rPr>
          <w:lang w:val="en-AU"/>
        </w:rPr>
        <w:t>;</w:t>
      </w:r>
    </w:p>
    <w:p w14:paraId="67311A8B" w14:textId="77777777" w:rsidR="00186F98" w:rsidRDefault="00186F98" w:rsidP="00B31655">
      <w:pPr>
        <w:ind w:left="1134" w:hanging="1134"/>
        <w:rPr>
          <w:lang w:val="en-AU"/>
        </w:rPr>
      </w:pPr>
    </w:p>
    <w:p w14:paraId="5EC7748D" w14:textId="4BD7620B" w:rsidR="00186F98" w:rsidRDefault="00186F98" w:rsidP="00854938">
      <w:pPr>
        <w:pStyle w:val="ListParagraph"/>
        <w:numPr>
          <w:ilvl w:val="0"/>
          <w:numId w:val="3"/>
        </w:numPr>
        <w:ind w:hanging="720"/>
        <w:rPr>
          <w:lang w:val="en-AU"/>
        </w:rPr>
      </w:pPr>
      <w:r>
        <w:rPr>
          <w:lang w:val="en-AU"/>
        </w:rPr>
        <w:t>Client and Lawyer have agreed that Lawyer will accept</w:t>
      </w:r>
      <w:r w:rsidR="00AC15B0">
        <w:rPr>
          <w:lang w:val="en-AU"/>
        </w:rPr>
        <w:t xml:space="preserve"> the Settlement Sum</w:t>
      </w:r>
      <w:r>
        <w:rPr>
          <w:lang w:val="en-AU"/>
        </w:rPr>
        <w:t xml:space="preserve"> in full and complete satisfaction of the amount of costs </w:t>
      </w:r>
      <w:r w:rsidR="00AC15B0">
        <w:rPr>
          <w:lang w:val="en-AU"/>
        </w:rPr>
        <w:t>owing</w:t>
      </w:r>
      <w:r>
        <w:rPr>
          <w:lang w:val="en-AU"/>
        </w:rPr>
        <w:t xml:space="preserve"> to Lawyer;</w:t>
      </w:r>
    </w:p>
    <w:p w14:paraId="3DB00364" w14:textId="77777777" w:rsidR="00186F98" w:rsidRDefault="00186F98" w:rsidP="00B31655">
      <w:pPr>
        <w:ind w:left="1134" w:hanging="1134"/>
        <w:rPr>
          <w:lang w:val="en-AU"/>
        </w:rPr>
      </w:pPr>
    </w:p>
    <w:p w14:paraId="2547AE1E" w14:textId="51C636A7" w:rsidR="00186F98" w:rsidRDefault="00186F98" w:rsidP="00854938">
      <w:pPr>
        <w:pStyle w:val="ListParagraph"/>
        <w:numPr>
          <w:ilvl w:val="0"/>
          <w:numId w:val="3"/>
        </w:numPr>
        <w:ind w:hanging="720"/>
        <w:rPr>
          <w:lang w:val="en-AU"/>
        </w:rPr>
      </w:pPr>
      <w:r>
        <w:rPr>
          <w:lang w:val="en-AU"/>
        </w:rPr>
        <w:t xml:space="preserve">The parties </w:t>
      </w:r>
      <w:r w:rsidR="004720CA">
        <w:rPr>
          <w:lang w:val="en-AU"/>
        </w:rPr>
        <w:t xml:space="preserve">have further agreed that acceptance by Lawyer of the Settlement Sum will absolutely release and discharge the </w:t>
      </w:r>
      <w:r w:rsidR="00031CFE">
        <w:rPr>
          <w:lang w:val="en-AU"/>
        </w:rPr>
        <w:t>Client</w:t>
      </w:r>
      <w:r w:rsidR="004720CA">
        <w:rPr>
          <w:lang w:val="en-AU"/>
        </w:rPr>
        <w:t xml:space="preserve"> from all claims suits and proceedings of all kinds which the </w:t>
      </w:r>
      <w:r w:rsidR="00031CFE">
        <w:rPr>
          <w:lang w:val="en-AU"/>
        </w:rPr>
        <w:t>Lawyer</w:t>
      </w:r>
      <w:r w:rsidR="004720CA">
        <w:rPr>
          <w:lang w:val="en-AU"/>
        </w:rPr>
        <w:t xml:space="preserve"> may now have against the </w:t>
      </w:r>
      <w:r w:rsidR="00031CFE">
        <w:rPr>
          <w:lang w:val="en-AU"/>
        </w:rPr>
        <w:t>Client</w:t>
      </w:r>
      <w:r w:rsidR="004720CA">
        <w:rPr>
          <w:lang w:val="en-AU"/>
        </w:rPr>
        <w:t>;</w:t>
      </w:r>
    </w:p>
    <w:p w14:paraId="1BAB2032" w14:textId="77777777" w:rsidR="004720CA" w:rsidRDefault="004720CA" w:rsidP="00B31655">
      <w:pPr>
        <w:ind w:left="1134" w:hanging="1134"/>
        <w:rPr>
          <w:lang w:val="en-AU"/>
        </w:rPr>
      </w:pPr>
    </w:p>
    <w:p w14:paraId="610DCEA1" w14:textId="544879C6" w:rsidR="004720CA" w:rsidRDefault="004720CA" w:rsidP="00854938">
      <w:pPr>
        <w:pStyle w:val="ListParagraph"/>
        <w:numPr>
          <w:ilvl w:val="0"/>
          <w:numId w:val="3"/>
        </w:numPr>
        <w:ind w:hanging="720"/>
        <w:rPr>
          <w:lang w:val="en-AU"/>
        </w:rPr>
      </w:pPr>
      <w:r>
        <w:rPr>
          <w:lang w:val="en-AU"/>
        </w:rPr>
        <w:t>Client agrees that the Settlement Sum is a significant compromise on the amount claimed by Lawyer</w:t>
      </w:r>
      <w:r w:rsidR="00DE3D83">
        <w:rPr>
          <w:lang w:val="en-AU"/>
        </w:rPr>
        <w:t>;</w:t>
      </w:r>
    </w:p>
    <w:p w14:paraId="033FE5C9" w14:textId="77777777" w:rsidR="00DE3D83" w:rsidRDefault="00DE3D83" w:rsidP="00B31655">
      <w:pPr>
        <w:ind w:left="1134" w:hanging="1134"/>
        <w:rPr>
          <w:lang w:val="en-AU"/>
        </w:rPr>
      </w:pPr>
    </w:p>
    <w:p w14:paraId="6860D8F5" w14:textId="4BC3E21C" w:rsidR="00DE3D83" w:rsidRDefault="00DE3D83" w:rsidP="00854938">
      <w:pPr>
        <w:pStyle w:val="ListParagraph"/>
        <w:numPr>
          <w:ilvl w:val="0"/>
          <w:numId w:val="3"/>
        </w:numPr>
        <w:ind w:hanging="720"/>
        <w:rPr>
          <w:lang w:val="en-AU"/>
        </w:rPr>
      </w:pPr>
      <w:r>
        <w:rPr>
          <w:lang w:val="en-AU"/>
        </w:rPr>
        <w:t>The par</w:t>
      </w:r>
      <w:r w:rsidR="008E52B5">
        <w:rPr>
          <w:lang w:val="en-AU"/>
        </w:rPr>
        <w:t>ties have agreed to settle and end their disputes on the terms set out herein.</w:t>
      </w:r>
    </w:p>
    <w:p w14:paraId="703851A7" w14:textId="77777777" w:rsidR="008E52B5" w:rsidRDefault="008E52B5" w:rsidP="00AC15B0">
      <w:pPr>
        <w:rPr>
          <w:lang w:val="en-AU"/>
        </w:rPr>
      </w:pPr>
    </w:p>
    <w:p w14:paraId="37803674" w14:textId="4CB5E4B2" w:rsidR="008E52B5" w:rsidRPr="00AC15B0" w:rsidRDefault="008E52B5" w:rsidP="00B31655">
      <w:pPr>
        <w:ind w:left="1134" w:hanging="1134"/>
        <w:rPr>
          <w:b/>
          <w:lang w:val="en-AU"/>
        </w:rPr>
      </w:pPr>
      <w:r w:rsidRPr="00AC15B0">
        <w:rPr>
          <w:b/>
          <w:i/>
          <w:lang w:val="en-AU"/>
        </w:rPr>
        <w:t>Agreement</w:t>
      </w:r>
    </w:p>
    <w:p w14:paraId="7913515C" w14:textId="77777777" w:rsidR="008E52B5" w:rsidRDefault="008E52B5" w:rsidP="00B31655">
      <w:pPr>
        <w:ind w:left="1134" w:hanging="1134"/>
        <w:rPr>
          <w:lang w:val="en-AU"/>
        </w:rPr>
      </w:pPr>
    </w:p>
    <w:p w14:paraId="298D4720" w14:textId="74B0DEA9" w:rsidR="008E52B5" w:rsidRPr="00AC15B0" w:rsidRDefault="008E52B5" w:rsidP="00B31655">
      <w:pPr>
        <w:ind w:left="1134" w:hanging="1134"/>
        <w:rPr>
          <w:i/>
          <w:lang w:val="en-AU"/>
        </w:rPr>
      </w:pPr>
      <w:r>
        <w:rPr>
          <w:lang w:val="en-AU"/>
        </w:rPr>
        <w:tab/>
      </w:r>
      <w:r w:rsidRPr="00AC15B0">
        <w:rPr>
          <w:i/>
          <w:lang w:val="en-AU"/>
        </w:rPr>
        <w:t>Payment</w:t>
      </w:r>
    </w:p>
    <w:p w14:paraId="2BEE6BF8" w14:textId="77777777" w:rsidR="008E52B5" w:rsidRDefault="008E52B5" w:rsidP="00B31655">
      <w:pPr>
        <w:ind w:left="1134" w:hanging="1134"/>
        <w:rPr>
          <w:lang w:val="en-AU"/>
        </w:rPr>
      </w:pPr>
    </w:p>
    <w:p w14:paraId="7525284F" w14:textId="57E17DE4" w:rsidR="008E52B5" w:rsidRPr="00854938" w:rsidRDefault="008E52B5" w:rsidP="00854938">
      <w:pPr>
        <w:pStyle w:val="ListParagraph"/>
        <w:numPr>
          <w:ilvl w:val="0"/>
          <w:numId w:val="2"/>
        </w:numPr>
        <w:ind w:left="1170" w:hanging="1170"/>
        <w:rPr>
          <w:lang w:val="en-AU"/>
        </w:rPr>
      </w:pPr>
      <w:r w:rsidRPr="00854938">
        <w:rPr>
          <w:lang w:val="en-AU"/>
        </w:rPr>
        <w:t>Client must pay Lawyer the sum of $ (Settlement Sum).</w:t>
      </w:r>
    </w:p>
    <w:p w14:paraId="2D886280" w14:textId="77777777" w:rsidR="008E52B5" w:rsidRDefault="008E52B5" w:rsidP="00B31655">
      <w:pPr>
        <w:ind w:left="1134" w:hanging="1134"/>
        <w:rPr>
          <w:lang w:val="en-AU"/>
        </w:rPr>
      </w:pPr>
    </w:p>
    <w:p w14:paraId="428755DE" w14:textId="235A7D3F" w:rsidR="008E52B5" w:rsidRDefault="008E52B5" w:rsidP="00854938">
      <w:pPr>
        <w:pStyle w:val="ListParagraph"/>
        <w:numPr>
          <w:ilvl w:val="0"/>
          <w:numId w:val="2"/>
        </w:numPr>
        <w:ind w:left="1170" w:hanging="1170"/>
        <w:rPr>
          <w:lang w:val="en-AU"/>
        </w:rPr>
      </w:pPr>
      <w:r>
        <w:rPr>
          <w:lang w:val="en-AU"/>
        </w:rPr>
        <w:t>Payment must be effected not later than   days from the date of this Deed.</w:t>
      </w:r>
    </w:p>
    <w:p w14:paraId="51EE6695" w14:textId="77777777" w:rsidR="008E52B5" w:rsidRDefault="008E52B5" w:rsidP="00B31655">
      <w:pPr>
        <w:ind w:left="1134" w:hanging="1134"/>
        <w:rPr>
          <w:lang w:val="en-AU"/>
        </w:rPr>
      </w:pPr>
    </w:p>
    <w:p w14:paraId="0D41AE38" w14:textId="4C66B607" w:rsidR="00B941AA" w:rsidRDefault="00B941AA" w:rsidP="00B941AA">
      <w:pPr>
        <w:ind w:left="1170"/>
        <w:rPr>
          <w:lang w:val="en-AU"/>
        </w:rPr>
      </w:pPr>
    </w:p>
    <w:p w14:paraId="1DBEFACE" w14:textId="2BC55550" w:rsidR="008E52B5" w:rsidRPr="00AC15B0" w:rsidRDefault="008E52B5" w:rsidP="00B941AA">
      <w:pPr>
        <w:ind w:left="1134"/>
        <w:rPr>
          <w:i/>
          <w:lang w:val="en-AU"/>
        </w:rPr>
      </w:pPr>
      <w:r w:rsidRPr="00AC15B0">
        <w:rPr>
          <w:i/>
          <w:lang w:val="en-AU"/>
        </w:rPr>
        <w:lastRenderedPageBreak/>
        <w:t>Discharge</w:t>
      </w:r>
    </w:p>
    <w:p w14:paraId="42A87027" w14:textId="77777777" w:rsidR="008E52B5" w:rsidRDefault="008E52B5" w:rsidP="00B31655">
      <w:pPr>
        <w:ind w:left="1134" w:hanging="1134"/>
        <w:rPr>
          <w:lang w:val="en-AU"/>
        </w:rPr>
      </w:pPr>
    </w:p>
    <w:p w14:paraId="753FBA68" w14:textId="34EBDE12" w:rsidR="008E52B5" w:rsidRDefault="008E52B5" w:rsidP="00854938">
      <w:pPr>
        <w:pStyle w:val="ListParagraph"/>
        <w:numPr>
          <w:ilvl w:val="0"/>
          <w:numId w:val="2"/>
        </w:numPr>
        <w:ind w:left="1170" w:hanging="1170"/>
        <w:rPr>
          <w:lang w:val="en-AU"/>
        </w:rPr>
      </w:pPr>
      <w:r>
        <w:rPr>
          <w:lang w:val="en-AU"/>
        </w:rPr>
        <w:t>On payment of the Settlement Sum, Lawyer absolutely and completely releases and discharges Client from all sums which Client owes to Lawyer as at the date hereof.</w:t>
      </w:r>
    </w:p>
    <w:p w14:paraId="15D82B3B" w14:textId="77777777" w:rsidR="003628F2" w:rsidRDefault="003628F2" w:rsidP="00031CFE">
      <w:pPr>
        <w:rPr>
          <w:lang w:val="en-AU"/>
        </w:rPr>
      </w:pPr>
    </w:p>
    <w:p w14:paraId="20FF46D5" w14:textId="3820239D" w:rsidR="003628F2" w:rsidRPr="00AC15B0" w:rsidRDefault="003628F2" w:rsidP="00B31655">
      <w:pPr>
        <w:ind w:left="1134" w:hanging="1134"/>
        <w:rPr>
          <w:i/>
          <w:lang w:val="en-AU"/>
        </w:rPr>
      </w:pPr>
      <w:r>
        <w:rPr>
          <w:lang w:val="en-AU"/>
        </w:rPr>
        <w:tab/>
      </w:r>
      <w:r w:rsidRPr="00AC15B0">
        <w:rPr>
          <w:i/>
          <w:lang w:val="en-AU"/>
        </w:rPr>
        <w:t>Acknowledgment</w:t>
      </w:r>
    </w:p>
    <w:p w14:paraId="7C4D2F65" w14:textId="77777777" w:rsidR="003628F2" w:rsidRDefault="003628F2" w:rsidP="00B31655">
      <w:pPr>
        <w:ind w:left="1134" w:hanging="1134"/>
        <w:rPr>
          <w:lang w:val="en-AU"/>
        </w:rPr>
      </w:pPr>
    </w:p>
    <w:p w14:paraId="4403037E" w14:textId="47EC7C8F" w:rsidR="003628F2" w:rsidRPr="004545A5" w:rsidRDefault="003628F2" w:rsidP="00854938">
      <w:pPr>
        <w:pStyle w:val="ListParagraph"/>
        <w:numPr>
          <w:ilvl w:val="0"/>
          <w:numId w:val="2"/>
        </w:numPr>
        <w:ind w:left="1170" w:hanging="1170"/>
        <w:rPr>
          <w:lang w:val="en-AU"/>
        </w:rPr>
      </w:pPr>
      <w:r w:rsidRPr="004545A5">
        <w:rPr>
          <w:lang w:val="en-AU"/>
        </w:rPr>
        <w:t xml:space="preserve">Client and Lawyer acknowledge that by entering into this Deed of Compromise, they are </w:t>
      </w:r>
      <w:r w:rsidR="002B0000" w:rsidRPr="004545A5">
        <w:rPr>
          <w:lang w:val="en-AU"/>
        </w:rPr>
        <w:t xml:space="preserve">settling all matters in dispute between them and that they are respectively </w:t>
      </w:r>
      <w:r w:rsidRPr="004545A5">
        <w:rPr>
          <w:lang w:val="en-AU"/>
        </w:rPr>
        <w:t xml:space="preserve">waiving their right to assessment of the costs </w:t>
      </w:r>
      <w:r w:rsidR="00D718DA" w:rsidRPr="004545A5">
        <w:rPr>
          <w:lang w:val="en-AU"/>
        </w:rPr>
        <w:t xml:space="preserve">claimed by Lawyer </w:t>
      </w:r>
      <w:r w:rsidRPr="004545A5">
        <w:rPr>
          <w:lang w:val="en-AU"/>
        </w:rPr>
        <w:t xml:space="preserve">pursuant to the </w:t>
      </w:r>
      <w:r w:rsidR="00E912F9" w:rsidRPr="004545A5">
        <w:rPr>
          <w:lang w:val="en-AU"/>
        </w:rPr>
        <w:t>the Act</w:t>
      </w:r>
      <w:r w:rsidR="003472D5" w:rsidRPr="004545A5">
        <w:rPr>
          <w:lang w:val="en-AU"/>
        </w:rPr>
        <w:t xml:space="preserve"> or to </w:t>
      </w:r>
      <w:r w:rsidR="00E912F9" w:rsidRPr="004545A5">
        <w:rPr>
          <w:lang w:val="en-AU"/>
        </w:rPr>
        <w:t xml:space="preserve">the Uniform Law) </w:t>
      </w:r>
      <w:r w:rsidR="00997124" w:rsidRPr="004545A5">
        <w:rPr>
          <w:lang w:val="en-AU"/>
        </w:rPr>
        <w:t>or</w:t>
      </w:r>
      <w:r w:rsidR="005F609A" w:rsidRPr="004545A5">
        <w:rPr>
          <w:color w:val="FF0000"/>
          <w:lang w:val="en-AU"/>
        </w:rPr>
        <w:t xml:space="preserve"> </w:t>
      </w:r>
      <w:r w:rsidR="005F609A" w:rsidRPr="004545A5">
        <w:rPr>
          <w:lang w:val="en-AU"/>
        </w:rPr>
        <w:t xml:space="preserve">(in the case of Client) to make a </w:t>
      </w:r>
      <w:r w:rsidR="003148A3" w:rsidRPr="004545A5">
        <w:rPr>
          <w:lang w:val="en-AU"/>
        </w:rPr>
        <w:t xml:space="preserve">complaint which is a </w:t>
      </w:r>
      <w:r w:rsidR="005F609A" w:rsidRPr="004545A5">
        <w:rPr>
          <w:lang w:val="en-AU"/>
        </w:rPr>
        <w:t xml:space="preserve">costs </w:t>
      </w:r>
      <w:r w:rsidR="00FC04B4" w:rsidRPr="004545A5">
        <w:rPr>
          <w:lang w:val="en-AU"/>
        </w:rPr>
        <w:t>dispute</w:t>
      </w:r>
      <w:r w:rsidR="003148A3" w:rsidRPr="004545A5">
        <w:rPr>
          <w:lang w:val="en-AU"/>
        </w:rPr>
        <w:t xml:space="preserve"> arising out of a consumer matter </w:t>
      </w:r>
      <w:r w:rsidR="00FC04B4" w:rsidRPr="004545A5">
        <w:rPr>
          <w:lang w:val="en-AU"/>
        </w:rPr>
        <w:t xml:space="preserve">under Part 5 of </w:t>
      </w:r>
      <w:r w:rsidR="005F609A" w:rsidRPr="004545A5">
        <w:rPr>
          <w:lang w:val="en-AU"/>
        </w:rPr>
        <w:t xml:space="preserve">the Uniform Law or </w:t>
      </w:r>
      <w:r w:rsidR="00997124" w:rsidRPr="004545A5">
        <w:rPr>
          <w:lang w:val="en-AU"/>
        </w:rPr>
        <w:t xml:space="preserve"> to commence and maintain proceedings </w:t>
      </w:r>
      <w:r w:rsidR="005F609A" w:rsidRPr="004545A5">
        <w:rPr>
          <w:lang w:val="en-AU"/>
        </w:rPr>
        <w:t xml:space="preserve">of any  kind </w:t>
      </w:r>
      <w:r w:rsidR="00997124" w:rsidRPr="004545A5">
        <w:rPr>
          <w:lang w:val="en-AU"/>
        </w:rPr>
        <w:t>in respect of those costs</w:t>
      </w:r>
      <w:r w:rsidRPr="004545A5">
        <w:rPr>
          <w:i/>
          <w:lang w:val="en-AU"/>
        </w:rPr>
        <w:t xml:space="preserve"> </w:t>
      </w:r>
      <w:r w:rsidR="00AD46BC" w:rsidRPr="004545A5">
        <w:rPr>
          <w:lang w:val="en-AU"/>
        </w:rPr>
        <w:t xml:space="preserve">(as the case may be) and that upon execution of this Deed, no application may be made </w:t>
      </w:r>
      <w:r w:rsidR="002B0000" w:rsidRPr="004545A5">
        <w:rPr>
          <w:lang w:val="en-AU"/>
        </w:rPr>
        <w:t xml:space="preserve">by either party </w:t>
      </w:r>
      <w:r w:rsidR="00AD46BC" w:rsidRPr="004545A5">
        <w:rPr>
          <w:lang w:val="en-AU"/>
        </w:rPr>
        <w:t xml:space="preserve">to the Manager Cost Assessment for determination of </w:t>
      </w:r>
      <w:r w:rsidR="002B0000" w:rsidRPr="004545A5">
        <w:rPr>
          <w:lang w:val="en-AU"/>
        </w:rPr>
        <w:t xml:space="preserve">any of </w:t>
      </w:r>
      <w:r w:rsidR="00AD46BC" w:rsidRPr="004545A5">
        <w:rPr>
          <w:lang w:val="en-AU"/>
        </w:rPr>
        <w:t>the costs claimed by Lawyer.</w:t>
      </w:r>
    </w:p>
    <w:p w14:paraId="5EF77545" w14:textId="77777777" w:rsidR="003148A3" w:rsidRDefault="003148A3" w:rsidP="003148A3">
      <w:pPr>
        <w:pStyle w:val="ListParagraph"/>
        <w:ind w:left="1170"/>
        <w:rPr>
          <w:lang w:val="en-AU"/>
        </w:rPr>
      </w:pPr>
    </w:p>
    <w:p w14:paraId="565AC682" w14:textId="6106E869" w:rsidR="003148A3" w:rsidRPr="005E51E4" w:rsidRDefault="005E51E4" w:rsidP="003148A3">
      <w:pPr>
        <w:pStyle w:val="ListParagraph"/>
        <w:ind w:left="1170"/>
        <w:rPr>
          <w:i/>
          <w:lang w:val="en-AU"/>
        </w:rPr>
      </w:pPr>
      <w:r>
        <w:rPr>
          <w:i/>
          <w:lang w:val="en-AU"/>
        </w:rPr>
        <w:t>No assessment or complaint</w:t>
      </w:r>
    </w:p>
    <w:p w14:paraId="68A33455" w14:textId="77777777" w:rsidR="00854938" w:rsidRDefault="00854938" w:rsidP="00B31655">
      <w:pPr>
        <w:ind w:left="1134" w:hanging="1134"/>
        <w:rPr>
          <w:lang w:val="en-AU"/>
        </w:rPr>
      </w:pPr>
    </w:p>
    <w:p w14:paraId="6BC754C9" w14:textId="6F7826AB" w:rsidR="00AD46BC" w:rsidRDefault="00AD46BC" w:rsidP="00854938">
      <w:pPr>
        <w:pStyle w:val="ListParagraph"/>
        <w:numPr>
          <w:ilvl w:val="0"/>
          <w:numId w:val="2"/>
        </w:numPr>
        <w:ind w:left="1170" w:hanging="1170"/>
        <w:rPr>
          <w:lang w:val="en-AU"/>
        </w:rPr>
      </w:pPr>
      <w:r>
        <w:rPr>
          <w:lang w:val="en-AU"/>
        </w:rPr>
        <w:t xml:space="preserve">Lawyer acknowledges that by entering into this Deed Lawyer may not commence or maintain any proceedings for the </w:t>
      </w:r>
      <w:r w:rsidR="00031CFE">
        <w:rPr>
          <w:lang w:val="en-AU"/>
        </w:rPr>
        <w:t xml:space="preserve">recovery of any </w:t>
      </w:r>
      <w:r>
        <w:rPr>
          <w:lang w:val="en-AU"/>
        </w:rPr>
        <w:t>amount of legal costs claim</w:t>
      </w:r>
      <w:r w:rsidR="002B0000">
        <w:rPr>
          <w:lang w:val="en-AU"/>
        </w:rPr>
        <w:t xml:space="preserve">ed </w:t>
      </w:r>
      <w:r w:rsidR="00031CFE">
        <w:rPr>
          <w:lang w:val="en-AU"/>
        </w:rPr>
        <w:t>from Client</w:t>
      </w:r>
      <w:r>
        <w:rPr>
          <w:lang w:val="en-AU"/>
        </w:rPr>
        <w:t xml:space="preserve"> and that thereafter the only amount which Lawyer is entitled to claim from Client is the Settlement Sum.</w:t>
      </w:r>
    </w:p>
    <w:p w14:paraId="4AB6E0B2" w14:textId="77777777" w:rsidR="009E5FC1" w:rsidRPr="009E5FC1" w:rsidRDefault="009E5FC1" w:rsidP="009E5FC1">
      <w:pPr>
        <w:pStyle w:val="ListParagraph"/>
        <w:rPr>
          <w:lang w:val="en-AU"/>
        </w:rPr>
      </w:pPr>
    </w:p>
    <w:p w14:paraId="6E13CCF4" w14:textId="42F5698F" w:rsidR="00E912F9" w:rsidRPr="00472162" w:rsidRDefault="009E5FC1" w:rsidP="00854938">
      <w:pPr>
        <w:pStyle w:val="ListParagraph"/>
        <w:numPr>
          <w:ilvl w:val="0"/>
          <w:numId w:val="2"/>
        </w:numPr>
        <w:ind w:left="1170" w:hanging="1170"/>
        <w:rPr>
          <w:lang w:val="en-AU"/>
        </w:rPr>
      </w:pPr>
      <w:r w:rsidRPr="00472162">
        <w:rPr>
          <w:lang w:val="en-AU"/>
        </w:rPr>
        <w:t xml:space="preserve">Client acknowledges that by entering into this Deed </w:t>
      </w:r>
      <w:r w:rsidR="00472162" w:rsidRPr="00472162">
        <w:rPr>
          <w:lang w:val="en-AU"/>
        </w:rPr>
        <w:t>C</w:t>
      </w:r>
      <w:r w:rsidRPr="00472162">
        <w:rPr>
          <w:lang w:val="en-AU"/>
        </w:rPr>
        <w:t xml:space="preserve">lient may </w:t>
      </w:r>
      <w:r w:rsidR="003148A3">
        <w:rPr>
          <w:lang w:val="en-AU"/>
        </w:rPr>
        <w:t xml:space="preserve">not </w:t>
      </w:r>
      <w:r w:rsidR="003148A3" w:rsidRPr="003472D5">
        <w:rPr>
          <w:lang w:val="en-AU"/>
        </w:rPr>
        <w:t>make a complaint about Lawyer which is a costs dispute arising out of a consumer matter i</w:t>
      </w:r>
      <w:r w:rsidRPr="003472D5">
        <w:rPr>
          <w:lang w:val="en-AU"/>
        </w:rPr>
        <w:t>n respect of those costs pursuant to the Uniform Law</w:t>
      </w:r>
      <w:r w:rsidR="003148A3" w:rsidRPr="003472D5">
        <w:rPr>
          <w:lang w:val="en-AU"/>
        </w:rPr>
        <w:t>, nor ap</w:t>
      </w:r>
      <w:r w:rsidR="003148A3">
        <w:rPr>
          <w:lang w:val="en-AU"/>
        </w:rPr>
        <w:t>ply for assessment of the costs claimed by</w:t>
      </w:r>
      <w:r w:rsidR="00031CFE">
        <w:rPr>
          <w:lang w:val="en-AU"/>
        </w:rPr>
        <w:t xml:space="preserve"> Lawyer</w:t>
      </w:r>
      <w:r w:rsidR="00E912F9" w:rsidRPr="00472162">
        <w:rPr>
          <w:lang w:val="en-AU"/>
        </w:rPr>
        <w:t>.</w:t>
      </w:r>
    </w:p>
    <w:p w14:paraId="2DB2B840" w14:textId="77777777" w:rsidR="00E912F9" w:rsidRDefault="00E912F9" w:rsidP="00B31655">
      <w:pPr>
        <w:ind w:left="1134" w:hanging="1134"/>
        <w:rPr>
          <w:lang w:val="en-AU"/>
        </w:rPr>
      </w:pPr>
    </w:p>
    <w:p w14:paraId="3C534D83" w14:textId="1592527C" w:rsidR="00E912F9" w:rsidRPr="00AC15B0" w:rsidRDefault="00E912F9" w:rsidP="00B31655">
      <w:pPr>
        <w:ind w:left="1134" w:hanging="1134"/>
        <w:rPr>
          <w:i/>
          <w:lang w:val="en-AU"/>
        </w:rPr>
      </w:pPr>
      <w:r>
        <w:rPr>
          <w:lang w:val="en-AU"/>
        </w:rPr>
        <w:tab/>
      </w:r>
      <w:r w:rsidRPr="00AC15B0">
        <w:rPr>
          <w:i/>
          <w:lang w:val="en-AU"/>
        </w:rPr>
        <w:t>Agreement not a costs agreement</w:t>
      </w:r>
    </w:p>
    <w:p w14:paraId="29731D04" w14:textId="77777777" w:rsidR="00E912F9" w:rsidRDefault="00E912F9" w:rsidP="00B31655">
      <w:pPr>
        <w:ind w:left="1134" w:hanging="1134"/>
        <w:rPr>
          <w:lang w:val="en-AU"/>
        </w:rPr>
      </w:pPr>
    </w:p>
    <w:p w14:paraId="49BC9910" w14:textId="331E2D51" w:rsidR="003472D5" w:rsidRDefault="00031CFE" w:rsidP="003472D5">
      <w:pPr>
        <w:tabs>
          <w:tab w:val="left" w:pos="1134"/>
        </w:tabs>
        <w:ind w:left="2268" w:hanging="2268"/>
        <w:rPr>
          <w:lang w:val="en-AU"/>
        </w:rPr>
      </w:pPr>
      <w:r>
        <w:rPr>
          <w:lang w:val="en-AU"/>
        </w:rPr>
        <w:t>7</w:t>
      </w:r>
      <w:r w:rsidR="003472D5">
        <w:rPr>
          <w:lang w:val="en-AU"/>
        </w:rPr>
        <w:t>.</w:t>
      </w:r>
      <w:r w:rsidR="003472D5">
        <w:rPr>
          <w:lang w:val="en-AU"/>
        </w:rPr>
        <w:tab/>
        <w:t>(a)</w:t>
      </w:r>
      <w:r w:rsidR="003472D5">
        <w:rPr>
          <w:lang w:val="en-AU"/>
        </w:rPr>
        <w:tab/>
      </w:r>
      <w:r w:rsidR="00E912F9" w:rsidRPr="003472D5">
        <w:rPr>
          <w:lang w:val="en-AU"/>
        </w:rPr>
        <w:t xml:space="preserve">The parties expressly agree that this is a deed by which the parties have compromised their rights against each other and is not a costs agreement for the purposes of the Uniform Law (as the case </w:t>
      </w:r>
      <w:r w:rsidR="00E912F9" w:rsidRPr="004545A5">
        <w:rPr>
          <w:lang w:val="en-AU"/>
        </w:rPr>
        <w:t>may be)</w:t>
      </w:r>
      <w:r w:rsidR="000C03F5" w:rsidRPr="004545A5">
        <w:rPr>
          <w:lang w:val="en-AU"/>
        </w:rPr>
        <w:t xml:space="preserve"> and not being a costs agreement will operate as an accord and satisfaction in any later proceedings or applications in relation to the costs</w:t>
      </w:r>
      <w:r w:rsidR="00E912F9" w:rsidRPr="004545A5">
        <w:rPr>
          <w:lang w:val="en-AU"/>
        </w:rPr>
        <w:t>.</w:t>
      </w:r>
      <w:r w:rsidR="00E912F9" w:rsidRPr="003472D5">
        <w:rPr>
          <w:lang w:val="en-AU"/>
        </w:rPr>
        <w:t xml:space="preserve"> </w:t>
      </w:r>
    </w:p>
    <w:p w14:paraId="7DD907E7" w14:textId="77777777" w:rsidR="003472D5" w:rsidRDefault="003472D5" w:rsidP="003472D5">
      <w:pPr>
        <w:tabs>
          <w:tab w:val="left" w:pos="1134"/>
        </w:tabs>
        <w:ind w:left="2268" w:hanging="2268"/>
        <w:rPr>
          <w:lang w:val="en-AU"/>
        </w:rPr>
      </w:pPr>
    </w:p>
    <w:p w14:paraId="04577231" w14:textId="0A1129B9" w:rsidR="00A60A00" w:rsidRDefault="003472D5" w:rsidP="003472D5">
      <w:pPr>
        <w:tabs>
          <w:tab w:val="left" w:pos="1134"/>
        </w:tabs>
        <w:ind w:left="2268" w:hanging="2268"/>
        <w:rPr>
          <w:lang w:val="en-AU"/>
        </w:rPr>
      </w:pPr>
      <w:r>
        <w:rPr>
          <w:lang w:val="en-AU"/>
        </w:rPr>
        <w:tab/>
        <w:t>(b)</w:t>
      </w:r>
      <w:r>
        <w:rPr>
          <w:lang w:val="en-AU"/>
        </w:rPr>
        <w:tab/>
      </w:r>
      <w:r w:rsidR="00A60A00" w:rsidRPr="003472D5">
        <w:rPr>
          <w:lang w:val="en-AU"/>
        </w:rPr>
        <w:t>Client agrees that Lawyer would not have accepted the Settlement Sum if Client had refused to enter into this Deed of Compromise.</w:t>
      </w:r>
    </w:p>
    <w:p w14:paraId="5BDF7CF9" w14:textId="77777777" w:rsidR="00031CFE" w:rsidRDefault="00031CFE" w:rsidP="003472D5">
      <w:pPr>
        <w:tabs>
          <w:tab w:val="left" w:pos="1134"/>
        </w:tabs>
        <w:ind w:left="2268" w:hanging="2268"/>
        <w:rPr>
          <w:lang w:val="en-AU"/>
        </w:rPr>
      </w:pPr>
    </w:p>
    <w:p w14:paraId="27CA371F" w14:textId="50AC77CE" w:rsidR="00031CFE" w:rsidRDefault="00031CFE" w:rsidP="003472D5">
      <w:pPr>
        <w:tabs>
          <w:tab w:val="left" w:pos="1134"/>
        </w:tabs>
        <w:ind w:left="2268" w:hanging="2268"/>
        <w:rPr>
          <w:lang w:val="en-AU"/>
        </w:rPr>
      </w:pPr>
      <w:r>
        <w:rPr>
          <w:i/>
          <w:lang w:val="en-AU"/>
        </w:rPr>
        <w:tab/>
        <w:t>Understanding</w:t>
      </w:r>
    </w:p>
    <w:p w14:paraId="037CE957" w14:textId="77777777" w:rsidR="00031CFE" w:rsidRDefault="00031CFE" w:rsidP="003472D5">
      <w:pPr>
        <w:tabs>
          <w:tab w:val="left" w:pos="1134"/>
        </w:tabs>
        <w:ind w:left="2268" w:hanging="2268"/>
        <w:rPr>
          <w:lang w:val="en-AU"/>
        </w:rPr>
      </w:pPr>
    </w:p>
    <w:p w14:paraId="449A6BC6" w14:textId="77777777" w:rsidR="00D13E59" w:rsidRDefault="00031CFE" w:rsidP="00E20F1C">
      <w:pPr>
        <w:tabs>
          <w:tab w:val="left" w:pos="1134"/>
        </w:tabs>
        <w:ind w:left="1134" w:hanging="1134"/>
        <w:rPr>
          <w:lang w:val="en-AU"/>
        </w:rPr>
      </w:pPr>
      <w:r>
        <w:rPr>
          <w:lang w:val="en-AU"/>
        </w:rPr>
        <w:t>8.</w:t>
      </w:r>
      <w:r>
        <w:rPr>
          <w:lang w:val="en-AU"/>
        </w:rPr>
        <w:tab/>
        <w:t xml:space="preserve">Client acknowledges that Client has received legal advice in respect of this </w:t>
      </w:r>
      <w:r w:rsidR="00D13E59">
        <w:rPr>
          <w:lang w:val="en-AU"/>
        </w:rPr>
        <w:t xml:space="preserve">Deed and its effect and has understood that advice.   </w:t>
      </w:r>
    </w:p>
    <w:p w14:paraId="7F498C32" w14:textId="77777777" w:rsidR="00D13E59" w:rsidRDefault="00D13E59" w:rsidP="003472D5">
      <w:pPr>
        <w:tabs>
          <w:tab w:val="left" w:pos="1134"/>
        </w:tabs>
        <w:ind w:left="2268" w:hanging="2268"/>
        <w:rPr>
          <w:lang w:val="en-AU"/>
        </w:rPr>
      </w:pPr>
    </w:p>
    <w:p w14:paraId="6A10575D" w14:textId="732576C0" w:rsidR="00031CFE" w:rsidRDefault="00D13E59" w:rsidP="003472D5">
      <w:pPr>
        <w:tabs>
          <w:tab w:val="left" w:pos="1134"/>
        </w:tabs>
        <w:ind w:left="2268" w:hanging="2268"/>
        <w:rPr>
          <w:lang w:val="en-AU"/>
        </w:rPr>
      </w:pPr>
      <w:r>
        <w:rPr>
          <w:lang w:val="en-AU"/>
        </w:rPr>
        <w:t>OR</w:t>
      </w:r>
    </w:p>
    <w:p w14:paraId="104DCA2B" w14:textId="77777777" w:rsidR="00D13E59" w:rsidRDefault="00D13E59" w:rsidP="003472D5">
      <w:pPr>
        <w:tabs>
          <w:tab w:val="left" w:pos="1134"/>
        </w:tabs>
        <w:ind w:left="2268" w:hanging="2268"/>
        <w:rPr>
          <w:lang w:val="en-AU"/>
        </w:rPr>
      </w:pPr>
    </w:p>
    <w:p w14:paraId="3E7E946F" w14:textId="77777777" w:rsidR="00D13E59" w:rsidRDefault="00D13E59" w:rsidP="003472D5">
      <w:pPr>
        <w:tabs>
          <w:tab w:val="left" w:pos="1134"/>
        </w:tabs>
        <w:ind w:left="2268" w:hanging="2268"/>
        <w:rPr>
          <w:lang w:val="en-AU"/>
        </w:rPr>
      </w:pPr>
      <w:r>
        <w:rPr>
          <w:lang w:val="en-AU"/>
        </w:rPr>
        <w:lastRenderedPageBreak/>
        <w:t>8.</w:t>
      </w:r>
      <w:r>
        <w:rPr>
          <w:lang w:val="en-AU"/>
        </w:rPr>
        <w:tab/>
        <w:t xml:space="preserve">Client acknowledges that </w:t>
      </w:r>
    </w:p>
    <w:p w14:paraId="464A57C2" w14:textId="77777777" w:rsidR="00D13E59" w:rsidRDefault="00D13E59" w:rsidP="003472D5">
      <w:pPr>
        <w:tabs>
          <w:tab w:val="left" w:pos="1134"/>
        </w:tabs>
        <w:ind w:left="2268" w:hanging="2268"/>
        <w:rPr>
          <w:lang w:val="en-AU"/>
        </w:rPr>
      </w:pPr>
    </w:p>
    <w:p w14:paraId="38B027A7" w14:textId="2D157B7A" w:rsidR="00D13E59" w:rsidRDefault="00D13E59" w:rsidP="003472D5">
      <w:pPr>
        <w:tabs>
          <w:tab w:val="left" w:pos="1134"/>
        </w:tabs>
        <w:ind w:left="2268" w:hanging="2268"/>
        <w:rPr>
          <w:lang w:val="en-AU"/>
        </w:rPr>
      </w:pPr>
      <w:r>
        <w:rPr>
          <w:lang w:val="en-AU"/>
        </w:rPr>
        <w:tab/>
        <w:t>(a)</w:t>
      </w:r>
      <w:r>
        <w:rPr>
          <w:lang w:val="en-AU"/>
        </w:rPr>
        <w:tab/>
        <w:t>Client has been advised to get independent legal advice in respect of this Deed, but has elected not to get that advice; and</w:t>
      </w:r>
    </w:p>
    <w:p w14:paraId="2C2ED488" w14:textId="77777777" w:rsidR="00D13E59" w:rsidRDefault="00D13E59" w:rsidP="003472D5">
      <w:pPr>
        <w:tabs>
          <w:tab w:val="left" w:pos="1134"/>
        </w:tabs>
        <w:ind w:left="2268" w:hanging="2268"/>
        <w:rPr>
          <w:lang w:val="en-AU"/>
        </w:rPr>
      </w:pPr>
    </w:p>
    <w:p w14:paraId="1B9C3DC0" w14:textId="2BB47287" w:rsidR="00D13E59" w:rsidRDefault="00D13E59" w:rsidP="003472D5">
      <w:pPr>
        <w:tabs>
          <w:tab w:val="left" w:pos="1134"/>
        </w:tabs>
        <w:ind w:left="2268" w:hanging="2268"/>
        <w:rPr>
          <w:lang w:val="en-AU"/>
        </w:rPr>
      </w:pPr>
      <w:r>
        <w:rPr>
          <w:lang w:val="en-AU"/>
        </w:rPr>
        <w:tab/>
        <w:t>(b)</w:t>
      </w:r>
      <w:r>
        <w:rPr>
          <w:lang w:val="en-AU"/>
        </w:rPr>
        <w:tab/>
        <w:t>Client understands the effect of this Deed.</w:t>
      </w:r>
    </w:p>
    <w:p w14:paraId="53F9A825" w14:textId="77777777" w:rsidR="00D13E59" w:rsidRPr="00031CFE" w:rsidRDefault="00D13E59" w:rsidP="003472D5">
      <w:pPr>
        <w:tabs>
          <w:tab w:val="left" w:pos="1134"/>
        </w:tabs>
        <w:ind w:left="2268" w:hanging="2268"/>
        <w:rPr>
          <w:lang w:val="en-AU"/>
        </w:rPr>
      </w:pPr>
    </w:p>
    <w:p w14:paraId="2FD307F8" w14:textId="77777777" w:rsidR="002B0000" w:rsidRDefault="002B0000" w:rsidP="00B31655">
      <w:pPr>
        <w:ind w:left="1134" w:hanging="1134"/>
        <w:rPr>
          <w:lang w:val="en-AU"/>
        </w:rPr>
      </w:pPr>
    </w:p>
    <w:p w14:paraId="4DE57C20" w14:textId="77D7B8F4" w:rsidR="002B0000" w:rsidRPr="00AC15B0" w:rsidRDefault="002B0000" w:rsidP="00B31655">
      <w:pPr>
        <w:ind w:left="1134" w:hanging="1134"/>
        <w:rPr>
          <w:b/>
          <w:lang w:val="en-AU"/>
        </w:rPr>
      </w:pPr>
      <w:r w:rsidRPr="00AC15B0">
        <w:rPr>
          <w:b/>
          <w:i/>
          <w:lang w:val="en-AU"/>
        </w:rPr>
        <w:t xml:space="preserve">Execution </w:t>
      </w:r>
    </w:p>
    <w:p w14:paraId="29DF66F9" w14:textId="77777777" w:rsidR="002B0000" w:rsidRDefault="002B0000" w:rsidP="00B31655">
      <w:pPr>
        <w:ind w:left="1134" w:hanging="1134"/>
        <w:rPr>
          <w:lang w:val="en-AU"/>
        </w:rPr>
      </w:pPr>
    </w:p>
    <w:p w14:paraId="7A7E1B85" w14:textId="459406AE" w:rsidR="002B0000" w:rsidRDefault="002B0000" w:rsidP="00B31655">
      <w:pPr>
        <w:ind w:left="1134" w:hanging="1134"/>
        <w:rPr>
          <w:lang w:val="en-AU"/>
        </w:rPr>
      </w:pPr>
      <w:r>
        <w:rPr>
          <w:lang w:val="en-AU"/>
        </w:rPr>
        <w:t>Executed as a Deed by</w:t>
      </w:r>
    </w:p>
    <w:p w14:paraId="52F2BEF1" w14:textId="77777777" w:rsidR="002B0000" w:rsidRDefault="002B0000" w:rsidP="00B31655">
      <w:pPr>
        <w:ind w:left="1134" w:hanging="1134"/>
        <w:rPr>
          <w:lang w:val="en-AU"/>
        </w:rPr>
      </w:pPr>
    </w:p>
    <w:p w14:paraId="5AD126F6" w14:textId="726A27B2" w:rsidR="002B0000" w:rsidRDefault="002B0000" w:rsidP="00B31655">
      <w:pPr>
        <w:ind w:left="1134" w:hanging="1134"/>
        <w:rPr>
          <w:lang w:val="en-AU"/>
        </w:rPr>
      </w:pPr>
      <w:r>
        <w:rPr>
          <w:lang w:val="en-AU"/>
        </w:rPr>
        <w:t>Lawyer, in the presence of</w:t>
      </w:r>
    </w:p>
    <w:p w14:paraId="6D81BB17" w14:textId="77777777" w:rsidR="002B0000" w:rsidRDefault="002B0000" w:rsidP="00AC15B0">
      <w:pPr>
        <w:rPr>
          <w:lang w:val="en-AU"/>
        </w:rPr>
      </w:pPr>
    </w:p>
    <w:p w14:paraId="24F3630F" w14:textId="598408AF" w:rsidR="002B0000" w:rsidRDefault="002B0000" w:rsidP="00B31655">
      <w:pPr>
        <w:ind w:left="1134" w:hanging="1134"/>
        <w:rPr>
          <w:lang w:val="en-AU"/>
        </w:rPr>
      </w:pPr>
      <w:r>
        <w:rPr>
          <w:lang w:val="en-AU"/>
        </w:rPr>
        <w:t>………………………………………..</w:t>
      </w:r>
    </w:p>
    <w:p w14:paraId="242278E1" w14:textId="77777777" w:rsidR="002B0000" w:rsidRDefault="002B0000" w:rsidP="00B31655">
      <w:pPr>
        <w:ind w:left="1134" w:hanging="1134"/>
        <w:rPr>
          <w:lang w:val="en-AU"/>
        </w:rPr>
      </w:pPr>
    </w:p>
    <w:p w14:paraId="394DFD36" w14:textId="261DFAA5" w:rsidR="002B0000" w:rsidRDefault="002B0000" w:rsidP="00B31655">
      <w:pPr>
        <w:ind w:left="1134" w:hanging="1134"/>
        <w:rPr>
          <w:lang w:val="en-AU"/>
        </w:rPr>
      </w:pPr>
      <w:r>
        <w:rPr>
          <w:lang w:val="en-AU"/>
        </w:rPr>
        <w:t>……………………………………….</w:t>
      </w:r>
    </w:p>
    <w:p w14:paraId="61836B1B" w14:textId="77777777" w:rsidR="002B0000" w:rsidRDefault="002B0000" w:rsidP="00B31655">
      <w:pPr>
        <w:ind w:left="1134" w:hanging="1134"/>
        <w:rPr>
          <w:lang w:val="en-AU"/>
        </w:rPr>
      </w:pPr>
    </w:p>
    <w:p w14:paraId="6026C6F0" w14:textId="7AEFF04C" w:rsidR="002B0000" w:rsidRDefault="002B0000" w:rsidP="002B0000">
      <w:pPr>
        <w:ind w:left="1134" w:hanging="1134"/>
        <w:rPr>
          <w:lang w:val="en-AU"/>
        </w:rPr>
      </w:pPr>
      <w:r>
        <w:rPr>
          <w:lang w:val="en-AU"/>
        </w:rPr>
        <w:t>Client, in the presence of</w:t>
      </w:r>
    </w:p>
    <w:p w14:paraId="4AAAC6F8" w14:textId="77777777" w:rsidR="002B0000" w:rsidRDefault="002B0000" w:rsidP="002B0000">
      <w:pPr>
        <w:ind w:left="1134" w:hanging="1134"/>
        <w:rPr>
          <w:lang w:val="en-AU"/>
        </w:rPr>
      </w:pPr>
    </w:p>
    <w:p w14:paraId="149FF382" w14:textId="77777777" w:rsidR="002B0000" w:rsidRDefault="002B0000" w:rsidP="002B0000">
      <w:pPr>
        <w:ind w:left="1134" w:hanging="1134"/>
        <w:rPr>
          <w:lang w:val="en-AU"/>
        </w:rPr>
      </w:pPr>
    </w:p>
    <w:p w14:paraId="574D8CC7" w14:textId="77777777" w:rsidR="002B0000" w:rsidRDefault="002B0000" w:rsidP="002B0000">
      <w:pPr>
        <w:ind w:left="1134" w:hanging="1134"/>
        <w:rPr>
          <w:lang w:val="en-AU"/>
        </w:rPr>
      </w:pPr>
      <w:r>
        <w:rPr>
          <w:lang w:val="en-AU"/>
        </w:rPr>
        <w:t>………………………………………..</w:t>
      </w:r>
    </w:p>
    <w:p w14:paraId="551EA43B" w14:textId="77777777" w:rsidR="002B0000" w:rsidRDefault="002B0000" w:rsidP="002B0000">
      <w:pPr>
        <w:ind w:left="1134" w:hanging="1134"/>
        <w:rPr>
          <w:lang w:val="en-AU"/>
        </w:rPr>
      </w:pPr>
    </w:p>
    <w:p w14:paraId="138F4187" w14:textId="77777777" w:rsidR="002B0000" w:rsidRPr="002B0000" w:rsidRDefault="002B0000" w:rsidP="002B0000">
      <w:pPr>
        <w:ind w:left="1134" w:hanging="1134"/>
        <w:rPr>
          <w:lang w:val="en-AU"/>
        </w:rPr>
      </w:pPr>
      <w:r>
        <w:rPr>
          <w:lang w:val="en-AU"/>
        </w:rPr>
        <w:t>……………………………………….</w:t>
      </w:r>
    </w:p>
    <w:p w14:paraId="09B0D6A2" w14:textId="77777777" w:rsidR="002B0000" w:rsidRPr="002B0000" w:rsidRDefault="002B0000" w:rsidP="00B31655">
      <w:pPr>
        <w:ind w:left="1134" w:hanging="1134"/>
        <w:rPr>
          <w:lang w:val="en-AU"/>
        </w:rPr>
      </w:pPr>
    </w:p>
    <w:sectPr w:rsidR="002B0000" w:rsidRPr="002B0000" w:rsidSect="00B941AA">
      <w:footerReference w:type="even" r:id="rId12"/>
      <w:footerReference w:type="default" r:id="rId13"/>
      <w:pgSz w:w="11900" w:h="16840"/>
      <w:pgMar w:top="1440" w:right="1127" w:bottom="1440"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E85A1" w14:textId="77777777" w:rsidR="00582887" w:rsidRDefault="00582887" w:rsidP="002B0000">
      <w:r>
        <w:separator/>
      </w:r>
    </w:p>
  </w:endnote>
  <w:endnote w:type="continuationSeparator" w:id="0">
    <w:p w14:paraId="5028D1B8" w14:textId="77777777" w:rsidR="00582887" w:rsidRDefault="00582887" w:rsidP="002B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C8D5" w14:textId="77777777" w:rsidR="002B0000" w:rsidRDefault="002B0000" w:rsidP="00511DD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D3D053" w14:textId="77777777" w:rsidR="002B0000" w:rsidRDefault="002B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D2F20" w14:textId="77777777" w:rsidR="002B0000" w:rsidRDefault="002B0000" w:rsidP="00511DD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732D">
      <w:rPr>
        <w:rStyle w:val="PageNumber"/>
        <w:noProof/>
      </w:rPr>
      <w:t>3</w:t>
    </w:r>
    <w:r>
      <w:rPr>
        <w:rStyle w:val="PageNumber"/>
      </w:rPr>
      <w:fldChar w:fldCharType="end"/>
    </w:r>
  </w:p>
  <w:p w14:paraId="77788257" w14:textId="77777777" w:rsidR="002B0000" w:rsidRDefault="002B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197B6" w14:textId="77777777" w:rsidR="00582887" w:rsidRDefault="00582887" w:rsidP="002B0000">
      <w:r>
        <w:separator/>
      </w:r>
    </w:p>
  </w:footnote>
  <w:footnote w:type="continuationSeparator" w:id="0">
    <w:p w14:paraId="4436E07B" w14:textId="77777777" w:rsidR="00582887" w:rsidRDefault="00582887" w:rsidP="002B0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215"/>
    <w:multiLevelType w:val="hybridMultilevel"/>
    <w:tmpl w:val="B5C495EC"/>
    <w:lvl w:ilvl="0" w:tplc="E5EE9DE4">
      <w:start w:val="1"/>
      <w:numFmt w:val="decimal"/>
      <w:lvlText w:val="%1."/>
      <w:lvlJc w:val="left"/>
      <w:pPr>
        <w:ind w:left="1500" w:hanging="114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FCF10A6"/>
    <w:multiLevelType w:val="hybridMultilevel"/>
    <w:tmpl w:val="E766C86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A61542E"/>
    <w:multiLevelType w:val="hybridMultilevel"/>
    <w:tmpl w:val="5D4CAA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55"/>
    <w:rsid w:val="000247DC"/>
    <w:rsid w:val="00031CFE"/>
    <w:rsid w:val="0009648E"/>
    <w:rsid w:val="000A606A"/>
    <w:rsid w:val="000C03F5"/>
    <w:rsid w:val="00186F98"/>
    <w:rsid w:val="002B0000"/>
    <w:rsid w:val="003148A3"/>
    <w:rsid w:val="003472D5"/>
    <w:rsid w:val="00347FD6"/>
    <w:rsid w:val="003628F2"/>
    <w:rsid w:val="0036441E"/>
    <w:rsid w:val="003921A7"/>
    <w:rsid w:val="00426C26"/>
    <w:rsid w:val="004443DA"/>
    <w:rsid w:val="004545A5"/>
    <w:rsid w:val="004720CA"/>
    <w:rsid w:val="00472162"/>
    <w:rsid w:val="0049559A"/>
    <w:rsid w:val="00531E9B"/>
    <w:rsid w:val="00577CBF"/>
    <w:rsid w:val="00582887"/>
    <w:rsid w:val="00590415"/>
    <w:rsid w:val="005A4B51"/>
    <w:rsid w:val="005A621A"/>
    <w:rsid w:val="005E51E4"/>
    <w:rsid w:val="005F5E20"/>
    <w:rsid w:val="005F609A"/>
    <w:rsid w:val="006315CC"/>
    <w:rsid w:val="00702519"/>
    <w:rsid w:val="007363AC"/>
    <w:rsid w:val="00854938"/>
    <w:rsid w:val="00862389"/>
    <w:rsid w:val="00873142"/>
    <w:rsid w:val="00875BBA"/>
    <w:rsid w:val="008E4772"/>
    <w:rsid w:val="008E52B5"/>
    <w:rsid w:val="00997124"/>
    <w:rsid w:val="00997DB1"/>
    <w:rsid w:val="009D732D"/>
    <w:rsid w:val="009E5FC1"/>
    <w:rsid w:val="00A24C10"/>
    <w:rsid w:val="00A60A00"/>
    <w:rsid w:val="00AC15B0"/>
    <w:rsid w:val="00AD46BC"/>
    <w:rsid w:val="00B31655"/>
    <w:rsid w:val="00B83972"/>
    <w:rsid w:val="00B941AA"/>
    <w:rsid w:val="00D13E59"/>
    <w:rsid w:val="00D718DA"/>
    <w:rsid w:val="00DE3D83"/>
    <w:rsid w:val="00E20F1C"/>
    <w:rsid w:val="00E338DC"/>
    <w:rsid w:val="00E912F9"/>
    <w:rsid w:val="00EF532E"/>
    <w:rsid w:val="00F64121"/>
    <w:rsid w:val="00FA7221"/>
    <w:rsid w:val="00FC04B4"/>
    <w:rsid w:val="00FF7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25D8DB-7EAF-419F-BAE6-509970EA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B0000"/>
    <w:pPr>
      <w:tabs>
        <w:tab w:val="center" w:pos="4513"/>
        <w:tab w:val="right" w:pos="9026"/>
      </w:tabs>
    </w:pPr>
  </w:style>
  <w:style w:type="character" w:customStyle="1" w:styleId="FooterChar">
    <w:name w:val="Footer Char"/>
    <w:basedOn w:val="DefaultParagraphFont"/>
    <w:link w:val="Footer"/>
    <w:uiPriority w:val="99"/>
    <w:rsid w:val="002B0000"/>
  </w:style>
  <w:style w:type="character" w:styleId="PageNumber">
    <w:name w:val="page number"/>
    <w:basedOn w:val="DefaultParagraphFont"/>
    <w:uiPriority w:val="99"/>
    <w:semiHidden/>
    <w:unhideWhenUsed/>
    <w:rsid w:val="002B0000"/>
  </w:style>
  <w:style w:type="paragraph" w:styleId="ListParagraph">
    <w:name w:val="List Paragraph"/>
    <w:basedOn w:val="Normal"/>
    <w:uiPriority w:val="34"/>
    <w:qFormat/>
    <w:rsid w:val="00854938"/>
    <w:pPr>
      <w:ind w:left="720"/>
      <w:contextualSpacing/>
    </w:pPr>
  </w:style>
  <w:style w:type="character" w:customStyle="1" w:styleId="P1">
    <w:name w:val="_P_1"/>
    <w:rsid w:val="005A621A"/>
    <w:rPr>
      <w:rFonts w:ascii="Times" w:hAnsi="Times"/>
      <w:sz w:val="18"/>
    </w:rPr>
  </w:style>
  <w:style w:type="character" w:styleId="Hyperlink">
    <w:name w:val="Hyperlink"/>
    <w:uiPriority w:val="99"/>
    <w:rsid w:val="005A621A"/>
    <w:rPr>
      <w:color w:val="0000FF"/>
      <w:u w:val="single"/>
    </w:rPr>
  </w:style>
  <w:style w:type="paragraph" w:styleId="Header">
    <w:name w:val="header"/>
    <w:basedOn w:val="Normal"/>
    <w:link w:val="HeaderChar"/>
    <w:uiPriority w:val="99"/>
    <w:unhideWhenUsed/>
    <w:rsid w:val="00B941AA"/>
    <w:pPr>
      <w:tabs>
        <w:tab w:val="center" w:pos="4513"/>
        <w:tab w:val="right" w:pos="9026"/>
      </w:tabs>
    </w:pPr>
  </w:style>
  <w:style w:type="character" w:customStyle="1" w:styleId="HeaderChar">
    <w:name w:val="Header Char"/>
    <w:basedOn w:val="DefaultParagraphFont"/>
    <w:link w:val="Header"/>
    <w:uiPriority w:val="99"/>
    <w:rsid w:val="00B941AA"/>
  </w:style>
  <w:style w:type="character" w:styleId="FollowedHyperlink">
    <w:name w:val="FollowedHyperlink"/>
    <w:basedOn w:val="DefaultParagraphFont"/>
    <w:uiPriority w:val="99"/>
    <w:semiHidden/>
    <w:unhideWhenUsed/>
    <w:rsid w:val="005F5E20"/>
    <w:rPr>
      <w:color w:val="954F72" w:themeColor="followedHyperlink"/>
      <w:u w:val="single"/>
    </w:rPr>
  </w:style>
  <w:style w:type="character" w:styleId="Emphasis">
    <w:name w:val="Emphasis"/>
    <w:basedOn w:val="DefaultParagraphFont"/>
    <w:uiPriority w:val="20"/>
    <w:qFormat/>
    <w:rsid w:val="009D73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de.io/article/7764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ade.io/article/41776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stlii.edu.au/au/legis/nsw/consol_act/lpa2004179/s192.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ade.io/citation/1404906" TargetMode="External"/><Relationship Id="rId4" Type="http://schemas.openxmlformats.org/officeDocument/2006/relationships/webSettings" Target="webSettings.xml"/><Relationship Id="rId9" Type="http://schemas.openxmlformats.org/officeDocument/2006/relationships/hyperlink" Target="https://jade.io/article/12563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RosierPartners Lawyers</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Rosier</dc:creator>
  <cp:lastModifiedBy>Adriana Paul</cp:lastModifiedBy>
  <cp:revision>2</cp:revision>
  <cp:lastPrinted>2016-08-31T04:41:00Z</cp:lastPrinted>
  <dcterms:created xsi:type="dcterms:W3CDTF">2018-06-21T04:31:00Z</dcterms:created>
  <dcterms:modified xsi:type="dcterms:W3CDTF">2018-06-21T04:31:00Z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1196780</vt:lpwstr>
  </property>
  <property fmtid="{D5CDD505-2E9C-101B-9397-08002B2CF9AE}" pid="3" name="DISProperties">
    <vt:lpwstr>DISdDocName,DIScgiUrl,DISdUser,DISCxOriginalAuthor,DISdID,DISidcName,DISTaskPaneUrl</vt:lpwstr>
  </property>
  <property fmtid="{D5CDD505-2E9C-101B-9397-08002B2CF9AE}" pid="4" name="DIScgiUrl">
    <vt:lpwstr>http://ls-owc-contb1.lawsocnsw.asn.au/idc/idcplg</vt:lpwstr>
  </property>
  <property fmtid="{D5CDD505-2E9C-101B-9397-08002B2CF9AE}" pid="5" name="DISdUser">
    <vt:lpwstr>apaul</vt:lpwstr>
  </property>
  <property fmtid="{D5CDD505-2E9C-101B-9397-08002B2CF9AE}" pid="6" name="DISdID">
    <vt:lpwstr>1438423</vt:lpwstr>
  </property>
  <property fmtid="{D5CDD505-2E9C-101B-9397-08002B2CF9AE}" pid="7" name="DISidcName">
    <vt:lpwstr>ls-owc-contb1_4444</vt:lpwstr>
  </property>
  <property fmtid="{D5CDD505-2E9C-101B-9397-08002B2CF9AE}" pid="8" name="DISTaskPaneUrl">
    <vt:lpwstr>http://ls-owc-contb1.lawsocnsw.asn.au/idc/idcplg?IdcService=DESKTOP_DOC_INFO&amp;dDocName=1196780&amp;dID=1438423&amp;ClientControlled=DocMan,taskpane&amp;coreContentOnly=1</vt:lpwstr>
  </property>
  <property fmtid="{D5CDD505-2E9C-101B-9397-08002B2CF9AE}" pid="9" name="DISCxOriginalAuthor">
    <vt:lpwstr>Marina Wilson</vt:lpwstr>
  </property>
</Properties>
</file>